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6B688F8C"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4864B5">
        <w:rPr>
          <w:rFonts w:ascii="Arial" w:hAnsi="Arial" w:cs="Arial"/>
          <w:b/>
          <w:bCs/>
          <w:sz w:val="18"/>
          <w:szCs w:val="18"/>
          <w:u w:val="single"/>
          <w:lang w:eastAsia="it-IT"/>
        </w:rPr>
        <w:t>- CAMPANIA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C9F46AD" w14:textId="77777777" w:rsidR="004864B5" w:rsidRPr="004864B5" w:rsidRDefault="004864B5" w:rsidP="004864B5">
      <w:pPr>
        <w:shd w:val="clear" w:color="auto" w:fill="FFFFFF"/>
        <w:spacing w:after="0" w:line="240" w:lineRule="auto"/>
        <w:jc w:val="center"/>
        <w:rPr>
          <w:rFonts w:ascii="Arial" w:hAnsi="Arial" w:cs="Arial"/>
          <w:b/>
          <w:bCs/>
          <w:sz w:val="18"/>
          <w:szCs w:val="18"/>
          <w:lang w:eastAsia="it-IT"/>
        </w:rPr>
      </w:pPr>
    </w:p>
    <w:p w14:paraId="35673FC7" w14:textId="77777777" w:rsidR="004864B5" w:rsidRPr="004864B5" w:rsidRDefault="004864B5" w:rsidP="004864B5">
      <w:pPr>
        <w:shd w:val="clear" w:color="auto" w:fill="FFFFFF"/>
        <w:spacing w:after="0" w:line="240" w:lineRule="auto"/>
        <w:jc w:val="center"/>
        <w:rPr>
          <w:rFonts w:ascii="Arial" w:hAnsi="Arial" w:cs="Arial"/>
          <w:b/>
          <w:bCs/>
          <w:sz w:val="18"/>
          <w:szCs w:val="18"/>
          <w:lang w:eastAsia="it-IT"/>
        </w:rPr>
      </w:pPr>
      <w:r w:rsidRPr="004864B5">
        <w:rPr>
          <w:rFonts w:ascii="Arial" w:hAnsi="Arial" w:cs="Arial"/>
          <w:b/>
          <w:bCs/>
          <w:sz w:val="18"/>
          <w:szCs w:val="18"/>
          <w:lang w:eastAsia="it-IT"/>
        </w:rPr>
        <w:t>LA CAMPANIA È LA QUARTA REGIONE ITALIANA PER NUMERO DI IMPRESE CHE EFFETTUANO ECO-INVESTIMENTI</w:t>
      </w:r>
    </w:p>
    <w:p w14:paraId="5506828B" w14:textId="77777777" w:rsidR="004864B5" w:rsidRPr="004864B5" w:rsidRDefault="004864B5" w:rsidP="004864B5">
      <w:pPr>
        <w:shd w:val="clear" w:color="auto" w:fill="FFFFFF"/>
        <w:spacing w:after="0" w:line="240" w:lineRule="auto"/>
        <w:jc w:val="center"/>
        <w:rPr>
          <w:rFonts w:ascii="Arial" w:hAnsi="Arial" w:cs="Arial"/>
          <w:b/>
          <w:bCs/>
          <w:sz w:val="18"/>
          <w:szCs w:val="18"/>
          <w:lang w:eastAsia="it-IT"/>
        </w:rPr>
      </w:pPr>
    </w:p>
    <w:p w14:paraId="4E12B9CF" w14:textId="75CAF2BF" w:rsidR="007D279C" w:rsidRDefault="004864B5" w:rsidP="004864B5">
      <w:pPr>
        <w:shd w:val="clear" w:color="auto" w:fill="FFFFFF"/>
        <w:spacing w:after="0" w:line="240" w:lineRule="auto"/>
        <w:jc w:val="center"/>
        <w:rPr>
          <w:rFonts w:ascii="Arial" w:hAnsi="Arial" w:cs="Arial"/>
          <w:b/>
          <w:bCs/>
          <w:sz w:val="18"/>
          <w:szCs w:val="18"/>
          <w:lang w:eastAsia="it-IT"/>
        </w:rPr>
      </w:pPr>
      <w:r w:rsidRPr="004864B5">
        <w:rPr>
          <w:rFonts w:ascii="Arial" w:hAnsi="Arial" w:cs="Arial"/>
          <w:b/>
          <w:bCs/>
          <w:sz w:val="18"/>
          <w:szCs w:val="18"/>
          <w:lang w:eastAsia="it-IT"/>
        </w:rPr>
        <w:t>NAPOLI TERZA PROVINCIA IN ITALIA SIA PER NUMERO DI IMPRESE CHE INVESTONO GREEN CHE PER ATTIVAZIONI DI CONTRATTI A GREEN JOBS</w:t>
      </w:r>
    </w:p>
    <w:p w14:paraId="0611F547" w14:textId="77777777" w:rsidR="004864B5" w:rsidRPr="00A853EE" w:rsidRDefault="004864B5" w:rsidP="004864B5">
      <w:pPr>
        <w:shd w:val="clear" w:color="auto" w:fill="FFFFFF"/>
        <w:spacing w:after="0" w:line="240" w:lineRule="auto"/>
        <w:jc w:val="center"/>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“I DATI DEL 16°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GreenItaly, arrivato alla sedicesima edizione, è realizzato dalla Fondazione Symbola, da Unioncamere e dal Centro Studi Tagliacarne con il patrocinio del Ministero dell’Ambiente e della Sicurezza Energetica. Al rapporto hanno collaborato Conai, Novamont, Ecopneus,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 xml:space="preserve">irettore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Implementation and Engagement Novamont; </w:t>
      </w:r>
      <w:r w:rsidR="00A853EE" w:rsidRPr="009F23F2">
        <w:rPr>
          <w:rFonts w:ascii="Arial" w:hAnsi="Arial" w:cs="Arial"/>
          <w:b/>
          <w:bCs/>
          <w:sz w:val="20"/>
          <w:szCs w:val="20"/>
          <w:lang w:eastAsia="it-IT"/>
        </w:rPr>
        <w:t xml:space="preserve">Giuseppina Carnimeo, direttore generale Ecopneus;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2557D869" w:rsidR="009F23F2" w:rsidRPr="009F23F2" w:rsidRDefault="009F23F2" w:rsidP="009F23F2">
      <w:pPr>
        <w:jc w:val="both"/>
        <w:rPr>
          <w:rFonts w:ascii="Arial" w:hAnsi="Arial" w:cs="Arial"/>
          <w:sz w:val="20"/>
          <w:szCs w:val="20"/>
        </w:rPr>
      </w:pPr>
      <w:r w:rsidRPr="009F23F2">
        <w:rPr>
          <w:rFonts w:ascii="Arial" w:hAnsi="Arial" w:cs="Arial"/>
          <w:sz w:val="20"/>
          <w:szCs w:val="20"/>
        </w:rPr>
        <w:t>“I dati del 16° Rapporto GreenItaly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C’è un’Italia che può essere protagonista con l’Europa alla COP30 a Belèm: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Rispetto alle altre imprese che hanno sempre brevetti ma non green.</w:t>
      </w:r>
      <w:r w:rsidR="00497B91" w:rsidRPr="009F23F2">
        <w:rPr>
          <w:rFonts w:ascii="Arial" w:hAnsi="Arial" w:cs="Arial"/>
          <w:sz w:val="20"/>
          <w:szCs w:val="20"/>
        </w:rPr>
        <w:t>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macro-aree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macro-aree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eq e risparmiare 957 milioni di MJ di risorse fossili (dati Ecopneus).</w:t>
      </w:r>
    </w:p>
    <w:p w14:paraId="43591243" w14:textId="77777777" w:rsidR="009F4672" w:rsidRDefault="009F4672" w:rsidP="009F23F2">
      <w:pPr>
        <w:spacing w:after="120" w:line="264" w:lineRule="auto"/>
        <w:jc w:val="both"/>
        <w:rPr>
          <w:rFonts w:ascii="Arial" w:hAnsi="Arial" w:cs="Arial"/>
          <w:sz w:val="20"/>
          <w:szCs w:val="20"/>
        </w:rPr>
      </w:pPr>
    </w:p>
    <w:p w14:paraId="5D77AB18" w14:textId="33475799" w:rsidR="004864B5" w:rsidRDefault="004864B5" w:rsidP="009F23F2">
      <w:pPr>
        <w:spacing w:after="120" w:line="264" w:lineRule="auto"/>
        <w:jc w:val="both"/>
        <w:rPr>
          <w:rFonts w:ascii="Arial" w:hAnsi="Arial" w:cs="Arial"/>
          <w:sz w:val="20"/>
          <w:szCs w:val="20"/>
        </w:rPr>
      </w:pPr>
    </w:p>
    <w:p w14:paraId="5CFB2EFC" w14:textId="77777777" w:rsidR="002C711C" w:rsidRPr="007B5E7D" w:rsidRDefault="002C711C" w:rsidP="002C711C">
      <w:pPr>
        <w:spacing w:after="200" w:line="276" w:lineRule="auto"/>
        <w:jc w:val="both"/>
        <w:rPr>
          <w:rFonts w:ascii="Arial" w:hAnsi="Arial" w:cs="Arial"/>
          <w:b/>
          <w:bCs/>
          <w:sz w:val="20"/>
          <w:szCs w:val="20"/>
        </w:rPr>
      </w:pPr>
      <w:r w:rsidRPr="007B5E7D">
        <w:rPr>
          <w:rFonts w:ascii="Arial" w:hAnsi="Arial" w:cs="Arial"/>
          <w:b/>
          <w:bCs/>
          <w:sz w:val="20"/>
          <w:szCs w:val="20"/>
        </w:rPr>
        <w:t xml:space="preserve">CAMPANIA </w:t>
      </w:r>
    </w:p>
    <w:p w14:paraId="2B465B68" w14:textId="77777777" w:rsidR="002C711C" w:rsidRPr="007405AF" w:rsidRDefault="002C711C" w:rsidP="002C711C">
      <w:pPr>
        <w:spacing w:line="240" w:lineRule="auto"/>
        <w:jc w:val="both"/>
        <w:rPr>
          <w:rFonts w:ascii="Arial" w:hAnsi="Arial" w:cs="Arial"/>
          <w:b/>
          <w:sz w:val="20"/>
          <w:szCs w:val="20"/>
        </w:rPr>
      </w:pPr>
      <w:r w:rsidRPr="007405AF">
        <w:rPr>
          <w:rFonts w:ascii="Arial" w:hAnsi="Arial" w:cs="Arial"/>
          <w:bCs/>
          <w:sz w:val="20"/>
          <w:szCs w:val="20"/>
        </w:rPr>
        <w:t xml:space="preserve">Con </w:t>
      </w:r>
      <w:r>
        <w:rPr>
          <w:rFonts w:ascii="Arial" w:hAnsi="Arial" w:cs="Arial"/>
          <w:bCs/>
          <w:sz w:val="20"/>
          <w:szCs w:val="20"/>
        </w:rPr>
        <w:t xml:space="preserve">50.890 </w:t>
      </w:r>
      <w:r w:rsidRPr="007405AF">
        <w:rPr>
          <w:rFonts w:ascii="Arial" w:hAnsi="Arial" w:cs="Arial"/>
          <w:bCs/>
          <w:sz w:val="20"/>
          <w:szCs w:val="20"/>
        </w:rPr>
        <w:t xml:space="preserve">imprese la Campania è al quarto posto in Italia nella graduatoria regionale per numero assoluto di aziende che hanno investito, o investiranno entro l’anno, in tecnologie green. Passando dal livello regionale a quello provinciale, è </w:t>
      </w:r>
      <w:r w:rsidRPr="007405AF">
        <w:rPr>
          <w:rFonts w:ascii="Arial" w:hAnsi="Arial" w:cs="Arial"/>
          <w:b/>
          <w:sz w:val="20"/>
          <w:szCs w:val="20"/>
        </w:rPr>
        <w:t xml:space="preserve">Napoli </w:t>
      </w:r>
      <w:r w:rsidRPr="007405AF">
        <w:rPr>
          <w:rFonts w:ascii="Arial" w:hAnsi="Arial" w:cs="Arial"/>
          <w:bCs/>
          <w:sz w:val="20"/>
          <w:szCs w:val="20"/>
        </w:rPr>
        <w:t xml:space="preserve">con le sue </w:t>
      </w:r>
      <w:r>
        <w:rPr>
          <w:rFonts w:ascii="Arial" w:hAnsi="Arial" w:cs="Arial"/>
          <w:bCs/>
          <w:sz w:val="20"/>
          <w:szCs w:val="20"/>
        </w:rPr>
        <w:t>25.934</w:t>
      </w:r>
      <w:r w:rsidRPr="007405AF">
        <w:rPr>
          <w:rFonts w:ascii="Arial" w:hAnsi="Arial" w:cs="Arial"/>
          <w:bCs/>
          <w:sz w:val="20"/>
          <w:szCs w:val="20"/>
        </w:rPr>
        <w:t xml:space="preserve"> imprese la provincia più virtuosa della Campania ed è </w:t>
      </w:r>
      <w:r>
        <w:rPr>
          <w:rFonts w:ascii="Arial" w:hAnsi="Arial" w:cs="Arial"/>
          <w:bCs/>
          <w:sz w:val="20"/>
          <w:szCs w:val="20"/>
        </w:rPr>
        <w:t xml:space="preserve">terza </w:t>
      </w:r>
      <w:r w:rsidRPr="007405AF">
        <w:rPr>
          <w:rFonts w:ascii="Arial" w:hAnsi="Arial" w:cs="Arial"/>
          <w:bCs/>
          <w:sz w:val="20"/>
          <w:szCs w:val="20"/>
        </w:rPr>
        <w:t xml:space="preserve">nella graduatoria nazionale delle province per eco-investimenti. Seconda </w:t>
      </w:r>
      <w:r w:rsidRPr="007405AF">
        <w:rPr>
          <w:rFonts w:ascii="Arial" w:hAnsi="Arial" w:cs="Arial"/>
          <w:b/>
          <w:sz w:val="20"/>
          <w:szCs w:val="20"/>
        </w:rPr>
        <w:t xml:space="preserve">Salerno </w:t>
      </w:r>
      <w:r w:rsidRPr="007405AF">
        <w:rPr>
          <w:rFonts w:ascii="Arial" w:hAnsi="Arial" w:cs="Arial"/>
          <w:bCs/>
          <w:sz w:val="20"/>
          <w:szCs w:val="20"/>
        </w:rPr>
        <w:t xml:space="preserve">che con </w:t>
      </w:r>
      <w:r>
        <w:rPr>
          <w:rFonts w:ascii="Arial" w:hAnsi="Arial" w:cs="Arial"/>
          <w:bCs/>
          <w:sz w:val="20"/>
          <w:szCs w:val="20"/>
        </w:rPr>
        <w:t>10.904</w:t>
      </w:r>
      <w:r w:rsidRPr="007405AF">
        <w:rPr>
          <w:rFonts w:ascii="Arial" w:hAnsi="Arial" w:cs="Arial"/>
          <w:bCs/>
          <w:sz w:val="20"/>
          <w:szCs w:val="20"/>
        </w:rPr>
        <w:t xml:space="preserve"> aziende e tra le prime venti province in Italia; </w:t>
      </w:r>
      <w:r w:rsidRPr="007405AF">
        <w:rPr>
          <w:rFonts w:ascii="Arial" w:hAnsi="Arial" w:cs="Arial"/>
          <w:b/>
          <w:sz w:val="20"/>
          <w:szCs w:val="20"/>
        </w:rPr>
        <w:t xml:space="preserve">Caserta </w:t>
      </w:r>
      <w:r>
        <w:rPr>
          <w:rFonts w:ascii="Arial" w:hAnsi="Arial" w:cs="Arial"/>
          <w:bCs/>
          <w:sz w:val="20"/>
          <w:szCs w:val="20"/>
        </w:rPr>
        <w:t>7.966</w:t>
      </w:r>
      <w:r w:rsidRPr="007405AF">
        <w:rPr>
          <w:rFonts w:ascii="Arial" w:hAnsi="Arial" w:cs="Arial"/>
          <w:bCs/>
          <w:sz w:val="20"/>
          <w:szCs w:val="20"/>
        </w:rPr>
        <w:t xml:space="preserve">; </w:t>
      </w:r>
      <w:r w:rsidRPr="007405AF">
        <w:rPr>
          <w:rFonts w:ascii="Arial" w:hAnsi="Arial" w:cs="Arial"/>
          <w:b/>
          <w:sz w:val="20"/>
          <w:szCs w:val="20"/>
        </w:rPr>
        <w:t xml:space="preserve">Benevento </w:t>
      </w:r>
      <w:r>
        <w:rPr>
          <w:rFonts w:ascii="Arial" w:hAnsi="Arial" w:cs="Arial"/>
          <w:bCs/>
          <w:sz w:val="20"/>
          <w:szCs w:val="20"/>
        </w:rPr>
        <w:t>2.328</w:t>
      </w:r>
      <w:r w:rsidRPr="007405AF">
        <w:rPr>
          <w:rFonts w:ascii="Arial" w:hAnsi="Arial" w:cs="Arial"/>
          <w:bCs/>
          <w:sz w:val="20"/>
          <w:szCs w:val="20"/>
        </w:rPr>
        <w:t>;</w:t>
      </w:r>
      <w:r w:rsidRPr="007405AF">
        <w:rPr>
          <w:rFonts w:ascii="Arial" w:hAnsi="Arial" w:cs="Arial"/>
          <w:b/>
          <w:sz w:val="20"/>
          <w:szCs w:val="20"/>
        </w:rPr>
        <w:t xml:space="preserve"> Avellino</w:t>
      </w:r>
      <w:r w:rsidRPr="007405AF">
        <w:rPr>
          <w:rFonts w:ascii="Arial" w:hAnsi="Arial" w:cs="Arial"/>
          <w:bCs/>
          <w:sz w:val="20"/>
          <w:szCs w:val="20"/>
        </w:rPr>
        <w:t xml:space="preserve"> con </w:t>
      </w:r>
      <w:r>
        <w:rPr>
          <w:rFonts w:ascii="Arial" w:hAnsi="Arial" w:cs="Arial"/>
          <w:bCs/>
          <w:sz w:val="20"/>
          <w:szCs w:val="20"/>
        </w:rPr>
        <w:t>3.753</w:t>
      </w:r>
      <w:r w:rsidRPr="007405AF">
        <w:rPr>
          <w:rFonts w:ascii="Arial" w:hAnsi="Arial" w:cs="Arial"/>
          <w:bCs/>
          <w:sz w:val="20"/>
          <w:szCs w:val="20"/>
        </w:rPr>
        <w:t xml:space="preserve">. I primati della regione non si fermano qui: con </w:t>
      </w:r>
      <w:r>
        <w:rPr>
          <w:rFonts w:ascii="Arial" w:hAnsi="Arial" w:cs="Arial"/>
          <w:bCs/>
          <w:sz w:val="20"/>
          <w:szCs w:val="20"/>
        </w:rPr>
        <w:t>160.982</w:t>
      </w:r>
      <w:r w:rsidRPr="007405AF">
        <w:rPr>
          <w:rFonts w:ascii="Arial" w:hAnsi="Arial" w:cs="Arial"/>
          <w:bCs/>
          <w:sz w:val="20"/>
          <w:szCs w:val="20"/>
        </w:rPr>
        <w:t xml:space="preserve"> contratti stipulati a green jobs, la Campania è </w:t>
      </w:r>
      <w:r>
        <w:rPr>
          <w:rFonts w:ascii="Arial" w:hAnsi="Arial" w:cs="Arial"/>
          <w:bCs/>
          <w:sz w:val="20"/>
          <w:szCs w:val="20"/>
        </w:rPr>
        <w:t>quinta</w:t>
      </w:r>
      <w:r w:rsidRPr="007405AF">
        <w:rPr>
          <w:rFonts w:ascii="Arial" w:hAnsi="Arial" w:cs="Arial"/>
          <w:bCs/>
          <w:sz w:val="20"/>
          <w:szCs w:val="20"/>
        </w:rPr>
        <w:t xml:space="preserve"> nella graduatoria regionale per numero di contratti in programma entro l’anno. </w:t>
      </w:r>
      <w:r w:rsidRPr="007405AF">
        <w:rPr>
          <w:rFonts w:ascii="Arial" w:hAnsi="Arial" w:cs="Arial"/>
          <w:b/>
          <w:sz w:val="20"/>
          <w:szCs w:val="20"/>
        </w:rPr>
        <w:t>Napoli</w:t>
      </w:r>
      <w:r w:rsidRPr="007405AF">
        <w:rPr>
          <w:rFonts w:ascii="Arial" w:hAnsi="Arial" w:cs="Arial"/>
          <w:bCs/>
          <w:sz w:val="20"/>
          <w:szCs w:val="20"/>
        </w:rPr>
        <w:t xml:space="preserve">, con </w:t>
      </w:r>
      <w:r>
        <w:rPr>
          <w:rFonts w:ascii="Arial" w:hAnsi="Arial" w:cs="Arial"/>
          <w:bCs/>
          <w:sz w:val="20"/>
          <w:szCs w:val="20"/>
        </w:rPr>
        <w:t xml:space="preserve">82.120 </w:t>
      </w:r>
      <w:r w:rsidRPr="007405AF">
        <w:rPr>
          <w:rFonts w:ascii="Arial" w:hAnsi="Arial" w:cs="Arial"/>
          <w:bCs/>
          <w:sz w:val="20"/>
          <w:szCs w:val="20"/>
        </w:rPr>
        <w:t xml:space="preserve">attivazioni, è al terzo posto nella graduatoria nazionale delle province. </w:t>
      </w:r>
      <w:r w:rsidRPr="007405AF">
        <w:rPr>
          <w:rFonts w:ascii="Arial" w:hAnsi="Arial" w:cs="Arial"/>
          <w:b/>
          <w:sz w:val="20"/>
          <w:szCs w:val="20"/>
        </w:rPr>
        <w:t xml:space="preserve">Salerno </w:t>
      </w:r>
      <w:r w:rsidRPr="007405AF">
        <w:rPr>
          <w:rFonts w:ascii="Arial" w:hAnsi="Arial" w:cs="Arial"/>
          <w:bCs/>
          <w:sz w:val="20"/>
          <w:szCs w:val="20"/>
        </w:rPr>
        <w:t xml:space="preserve">con </w:t>
      </w:r>
      <w:r>
        <w:rPr>
          <w:rFonts w:ascii="Arial" w:hAnsi="Arial" w:cs="Arial"/>
          <w:bCs/>
          <w:sz w:val="20"/>
          <w:szCs w:val="20"/>
        </w:rPr>
        <w:t>33.045</w:t>
      </w:r>
      <w:r w:rsidRPr="007405AF">
        <w:rPr>
          <w:rFonts w:ascii="Arial" w:hAnsi="Arial" w:cs="Arial"/>
          <w:bCs/>
          <w:sz w:val="20"/>
          <w:szCs w:val="20"/>
        </w:rPr>
        <w:t xml:space="preserve"> attivazioni a green jobs; </w:t>
      </w:r>
      <w:r w:rsidRPr="007405AF">
        <w:rPr>
          <w:rFonts w:ascii="Arial" w:hAnsi="Arial" w:cs="Arial"/>
          <w:b/>
          <w:sz w:val="20"/>
          <w:szCs w:val="20"/>
        </w:rPr>
        <w:t xml:space="preserve">Caserta </w:t>
      </w:r>
      <w:r w:rsidRPr="007405AF">
        <w:rPr>
          <w:rFonts w:ascii="Arial" w:hAnsi="Arial" w:cs="Arial"/>
          <w:bCs/>
          <w:sz w:val="20"/>
          <w:szCs w:val="20"/>
        </w:rPr>
        <w:t xml:space="preserve">con </w:t>
      </w:r>
      <w:r>
        <w:rPr>
          <w:rFonts w:ascii="Arial" w:hAnsi="Arial" w:cs="Arial"/>
          <w:bCs/>
          <w:sz w:val="20"/>
          <w:szCs w:val="20"/>
        </w:rPr>
        <w:t>26.782</w:t>
      </w:r>
      <w:r w:rsidRPr="007405AF">
        <w:rPr>
          <w:rFonts w:ascii="Arial" w:hAnsi="Arial" w:cs="Arial"/>
          <w:bCs/>
          <w:sz w:val="20"/>
          <w:szCs w:val="20"/>
        </w:rPr>
        <w:t>;</w:t>
      </w:r>
      <w:r w:rsidRPr="007405AF">
        <w:rPr>
          <w:rFonts w:ascii="Arial" w:hAnsi="Arial" w:cs="Arial"/>
          <w:b/>
          <w:sz w:val="20"/>
          <w:szCs w:val="20"/>
        </w:rPr>
        <w:t xml:space="preserve"> Avellino </w:t>
      </w:r>
      <w:r w:rsidRPr="007405AF">
        <w:rPr>
          <w:rFonts w:ascii="Arial" w:hAnsi="Arial" w:cs="Arial"/>
          <w:bCs/>
          <w:sz w:val="20"/>
          <w:szCs w:val="20"/>
        </w:rPr>
        <w:t xml:space="preserve">con </w:t>
      </w:r>
      <w:r>
        <w:rPr>
          <w:rFonts w:ascii="Arial" w:hAnsi="Arial" w:cs="Arial"/>
          <w:bCs/>
          <w:sz w:val="20"/>
          <w:szCs w:val="20"/>
        </w:rPr>
        <w:t>11.581</w:t>
      </w:r>
      <w:r w:rsidRPr="007405AF">
        <w:rPr>
          <w:rFonts w:ascii="Arial" w:hAnsi="Arial" w:cs="Arial"/>
          <w:bCs/>
          <w:sz w:val="20"/>
          <w:szCs w:val="20"/>
        </w:rPr>
        <w:t>;</w:t>
      </w:r>
      <w:r w:rsidRPr="007405AF">
        <w:rPr>
          <w:rFonts w:ascii="Arial" w:hAnsi="Arial" w:cs="Arial"/>
          <w:b/>
          <w:sz w:val="20"/>
          <w:szCs w:val="20"/>
        </w:rPr>
        <w:t xml:space="preserve"> Benevento </w:t>
      </w:r>
      <w:r>
        <w:rPr>
          <w:rFonts w:ascii="Arial" w:hAnsi="Arial" w:cs="Arial"/>
          <w:bCs/>
          <w:sz w:val="20"/>
          <w:szCs w:val="20"/>
        </w:rPr>
        <w:t>7.454</w:t>
      </w:r>
      <w:r w:rsidRPr="007405AF">
        <w:rPr>
          <w:rFonts w:ascii="Arial" w:hAnsi="Arial" w:cs="Arial"/>
          <w:b/>
          <w:sz w:val="20"/>
          <w:szCs w:val="20"/>
        </w:rPr>
        <w:t>.</w:t>
      </w:r>
    </w:p>
    <w:p w14:paraId="1C933A33" w14:textId="77777777" w:rsidR="00513B26" w:rsidRDefault="00513B26" w:rsidP="001E0E9B">
      <w:pPr>
        <w:jc w:val="both"/>
        <w:rPr>
          <w:b/>
          <w:bCs/>
        </w:rPr>
      </w:pPr>
    </w:p>
    <w:p w14:paraId="6045EFC0" w14:textId="77777777" w:rsidR="00EE0EB8" w:rsidRDefault="00EE0EB8" w:rsidP="00EE0EB8">
      <w:pPr>
        <w:jc w:val="both"/>
        <w:rPr>
          <w:b/>
          <w:bCs/>
        </w:rPr>
      </w:pPr>
    </w:p>
    <w:p w14:paraId="355C614C" w14:textId="77777777" w:rsidR="00EE0EB8" w:rsidRDefault="00EE0EB8" w:rsidP="00EE0EB8">
      <w:pPr>
        <w:jc w:val="both"/>
        <w:rPr>
          <w:b/>
          <w:bCs/>
        </w:rPr>
      </w:pPr>
    </w:p>
    <w:p w14:paraId="02E8ED6C" w14:textId="77777777" w:rsidR="00EE0EB8" w:rsidRDefault="00EE0EB8" w:rsidP="00EE0EB8">
      <w:pPr>
        <w:jc w:val="both"/>
        <w:rPr>
          <w:b/>
          <w:bCs/>
        </w:rPr>
      </w:pPr>
    </w:p>
    <w:p w14:paraId="4EB1A1F3" w14:textId="77777777" w:rsidR="00EE0EB8" w:rsidRDefault="00EE0EB8" w:rsidP="00EE0EB8">
      <w:pPr>
        <w:jc w:val="both"/>
        <w:rPr>
          <w:b/>
          <w:bCs/>
        </w:rPr>
      </w:pPr>
    </w:p>
    <w:p w14:paraId="593B03DF" w14:textId="77777777" w:rsidR="00EE0EB8" w:rsidRDefault="00EE0EB8" w:rsidP="00EE0EB8">
      <w:pPr>
        <w:jc w:val="both"/>
        <w:rPr>
          <w:b/>
          <w:bCs/>
        </w:rPr>
      </w:pPr>
    </w:p>
    <w:p w14:paraId="363BF065" w14:textId="77777777" w:rsidR="00EE0EB8" w:rsidRDefault="00EE0EB8" w:rsidP="00EE0EB8">
      <w:pPr>
        <w:jc w:val="both"/>
        <w:rPr>
          <w:b/>
          <w:bCs/>
        </w:rPr>
      </w:pPr>
    </w:p>
    <w:p w14:paraId="7F805FC2" w14:textId="77777777" w:rsidR="00EE0EB8" w:rsidRDefault="00EE0EB8" w:rsidP="00EE0EB8">
      <w:pPr>
        <w:jc w:val="both"/>
        <w:rPr>
          <w:b/>
          <w:bCs/>
        </w:rPr>
      </w:pPr>
    </w:p>
    <w:p w14:paraId="7A25F019" w14:textId="77777777" w:rsidR="00EE0EB8" w:rsidRDefault="00EE0EB8" w:rsidP="00EE0EB8">
      <w:pPr>
        <w:jc w:val="both"/>
        <w:rPr>
          <w:b/>
          <w:bCs/>
        </w:rPr>
      </w:pPr>
    </w:p>
    <w:p w14:paraId="1B936CB3" w14:textId="7AE68FC2" w:rsidR="00EE0EB8" w:rsidRPr="008F28A5" w:rsidRDefault="00EE0EB8" w:rsidP="00EE0EB8">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606F5D11" w14:textId="552DE60C" w:rsidR="00513B26" w:rsidRDefault="00EE0EB8" w:rsidP="001E0E9B">
      <w:pPr>
        <w:jc w:val="both"/>
        <w:rPr>
          <w:b/>
          <w:bCs/>
        </w:rPr>
      </w:pPr>
      <w:r w:rsidRPr="008F28A5">
        <w:rPr>
          <w:b/>
          <w:bCs/>
          <w:noProof/>
        </w:rPr>
        <w:drawing>
          <wp:inline distT="0" distB="0" distL="0" distR="0" wp14:anchorId="5CDF4701" wp14:editId="07DFF800">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39D168FF" w14:textId="77777777" w:rsidR="00513B26" w:rsidRDefault="00513B26" w:rsidP="001E0E9B">
      <w:pPr>
        <w:jc w:val="both"/>
        <w:rPr>
          <w:b/>
          <w:bCs/>
        </w:rPr>
      </w:pPr>
    </w:p>
    <w:p w14:paraId="28DF8AC0" w14:textId="77777777" w:rsidR="00513B26" w:rsidRDefault="00513B26" w:rsidP="001E0E9B">
      <w:pPr>
        <w:jc w:val="both"/>
        <w:rPr>
          <w:b/>
          <w:bCs/>
        </w:rPr>
      </w:pPr>
    </w:p>
    <w:p w14:paraId="3D195157"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7F3A843D" w14:textId="77777777" w:rsidR="00EE0EB8" w:rsidRDefault="00EE0EB8" w:rsidP="00EE0EB8">
      <w:pPr>
        <w:rPr>
          <w:b/>
          <w:bCs/>
        </w:rPr>
      </w:pPr>
    </w:p>
    <w:p w14:paraId="4CB8DE00" w14:textId="77777777" w:rsidR="00EE0EB8" w:rsidRDefault="00EE0EB8" w:rsidP="00EE0EB8">
      <w:pPr>
        <w:rPr>
          <w:b/>
          <w:bCs/>
        </w:rPr>
      </w:pPr>
    </w:p>
    <w:p w14:paraId="34C38522" w14:textId="77777777" w:rsidR="00EE0EB8" w:rsidRDefault="00EE0EB8" w:rsidP="00EE0EB8">
      <w:pPr>
        <w:rPr>
          <w:b/>
          <w:bCs/>
        </w:rPr>
      </w:pPr>
    </w:p>
    <w:p w14:paraId="182EAF08" w14:textId="77777777" w:rsidR="00EE0EB8" w:rsidRDefault="00EE0EB8" w:rsidP="00EE0EB8">
      <w:pPr>
        <w:rPr>
          <w:b/>
          <w:bCs/>
        </w:rPr>
      </w:pPr>
    </w:p>
    <w:p w14:paraId="07F20A91" w14:textId="77777777" w:rsidR="00EE0EB8" w:rsidRDefault="00EE0EB8" w:rsidP="00EE0EB8">
      <w:pPr>
        <w:rPr>
          <w:b/>
          <w:bCs/>
        </w:rPr>
      </w:pPr>
    </w:p>
    <w:p w14:paraId="757D0F0C" w14:textId="77777777" w:rsidR="00EE0EB8" w:rsidRDefault="00EE0EB8" w:rsidP="00EE0EB8">
      <w:pPr>
        <w:rPr>
          <w:b/>
          <w:bCs/>
        </w:rPr>
      </w:pPr>
    </w:p>
    <w:p w14:paraId="7F086392" w14:textId="6B8C03DC" w:rsidR="00EE0EB8" w:rsidRDefault="00EE0EB8" w:rsidP="00EE0EB8">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7FE0E1AE" w14:textId="77777777" w:rsidR="00EE0EB8" w:rsidRDefault="00EE0EB8" w:rsidP="00EE0EB8">
      <w:pPr>
        <w:rPr>
          <w:b/>
          <w:bCs/>
          <w:sz w:val="16"/>
          <w:szCs w:val="16"/>
        </w:rPr>
      </w:pPr>
      <w:r w:rsidRPr="00B778C8">
        <w:rPr>
          <w:b/>
          <w:bCs/>
          <w:sz w:val="16"/>
          <w:szCs w:val="16"/>
        </w:rPr>
        <w:t>Fonte: Indagine Centro Studi Tagliacarne – Unioncamere, 2025</w:t>
      </w:r>
    </w:p>
    <w:p w14:paraId="63CF62EC" w14:textId="394C1F66" w:rsidR="00EE0EB8" w:rsidRPr="00B778C8" w:rsidRDefault="00EE0EB8" w:rsidP="00EE0EB8">
      <w:pPr>
        <w:rPr>
          <w:b/>
          <w:bCs/>
          <w:sz w:val="16"/>
          <w:szCs w:val="16"/>
        </w:rPr>
      </w:pPr>
      <w:r w:rsidRPr="00B778C8">
        <w:rPr>
          <w:b/>
          <w:bCs/>
          <w:noProof/>
        </w:rPr>
        <w:drawing>
          <wp:inline distT="0" distB="0" distL="0" distR="0" wp14:anchorId="385D6153" wp14:editId="27C34230">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BB33" w14:textId="77777777" w:rsidR="006349E9" w:rsidRDefault="006349E9" w:rsidP="007B12EC">
      <w:pPr>
        <w:spacing w:after="0" w:line="240" w:lineRule="auto"/>
      </w:pPr>
      <w:r>
        <w:separator/>
      </w:r>
    </w:p>
  </w:endnote>
  <w:endnote w:type="continuationSeparator" w:id="0">
    <w:p w14:paraId="4882B4B8" w14:textId="77777777" w:rsidR="006349E9" w:rsidRDefault="006349E9"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BACE9" w14:textId="77777777" w:rsidR="006349E9" w:rsidRDefault="006349E9" w:rsidP="007B12EC">
      <w:pPr>
        <w:spacing w:after="0" w:line="240" w:lineRule="auto"/>
      </w:pPr>
      <w:r>
        <w:separator/>
      </w:r>
    </w:p>
  </w:footnote>
  <w:footnote w:type="continuationSeparator" w:id="0">
    <w:p w14:paraId="0EF27E51" w14:textId="77777777" w:rsidR="006349E9" w:rsidRDefault="006349E9"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C711C"/>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864B5"/>
    <w:rsid w:val="00493FA5"/>
    <w:rsid w:val="00497B91"/>
    <w:rsid w:val="004A198E"/>
    <w:rsid w:val="004B6018"/>
    <w:rsid w:val="004D7F5E"/>
    <w:rsid w:val="004E0FB1"/>
    <w:rsid w:val="00513B26"/>
    <w:rsid w:val="00570261"/>
    <w:rsid w:val="00570BB1"/>
    <w:rsid w:val="00576B10"/>
    <w:rsid w:val="005D522D"/>
    <w:rsid w:val="006057E3"/>
    <w:rsid w:val="006349E9"/>
    <w:rsid w:val="00640511"/>
    <w:rsid w:val="00653EC1"/>
    <w:rsid w:val="006632FE"/>
    <w:rsid w:val="00685DE7"/>
    <w:rsid w:val="00690463"/>
    <w:rsid w:val="006C1998"/>
    <w:rsid w:val="006D0CE4"/>
    <w:rsid w:val="00736F95"/>
    <w:rsid w:val="00742EDD"/>
    <w:rsid w:val="007465D9"/>
    <w:rsid w:val="0077465D"/>
    <w:rsid w:val="0077658D"/>
    <w:rsid w:val="0079486E"/>
    <w:rsid w:val="007B005A"/>
    <w:rsid w:val="007B12EC"/>
    <w:rsid w:val="007D279C"/>
    <w:rsid w:val="00800EC8"/>
    <w:rsid w:val="00801F4F"/>
    <w:rsid w:val="00827092"/>
    <w:rsid w:val="00827AF0"/>
    <w:rsid w:val="008612E9"/>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C1A26"/>
    <w:rsid w:val="00EE0EB8"/>
    <w:rsid w:val="00EE4D42"/>
    <w:rsid w:val="00EE4EB9"/>
    <w:rsid w:val="00EF27FE"/>
    <w:rsid w:val="00F004AA"/>
    <w:rsid w:val="00F20324"/>
    <w:rsid w:val="00F2104B"/>
    <w:rsid w:val="00F26E63"/>
    <w:rsid w:val="00F70E1E"/>
    <w:rsid w:val="00F8303D"/>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2017</Words>
  <Characters>11500</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2025-11-10T09:42:00Z</dcterms:modified>
</cp:coreProperties>
</file>