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5A0C87" w14:textId="0C6B3F76" w:rsidR="007D279C" w:rsidRPr="00A853EE" w:rsidRDefault="00513B26" w:rsidP="007D279C">
      <w:pPr>
        <w:shd w:val="clear" w:color="auto" w:fill="FFFFFF"/>
        <w:spacing w:after="0" w:line="240" w:lineRule="auto"/>
        <w:jc w:val="center"/>
        <w:rPr>
          <w:rFonts w:ascii="Arial" w:hAnsi="Arial" w:cs="Arial"/>
          <w:b/>
          <w:bCs/>
          <w:sz w:val="18"/>
          <w:szCs w:val="18"/>
          <w:u w:val="single"/>
          <w:lang w:eastAsia="it-IT"/>
        </w:rPr>
      </w:pPr>
      <w:bookmarkStart w:id="0" w:name="_Hlk213163050"/>
      <w:r>
        <w:rPr>
          <w:rFonts w:ascii="Arial" w:hAnsi="Arial" w:cs="Arial"/>
          <w:b/>
          <w:bCs/>
          <w:sz w:val="18"/>
          <w:szCs w:val="18"/>
          <w:u w:val="single"/>
          <w:lang w:eastAsia="it-IT"/>
        </w:rPr>
        <w:t>PRESENTA</w:t>
      </w:r>
      <w:r w:rsidR="002D22D3">
        <w:rPr>
          <w:rFonts w:ascii="Arial" w:hAnsi="Arial" w:cs="Arial"/>
          <w:b/>
          <w:bCs/>
          <w:sz w:val="18"/>
          <w:szCs w:val="18"/>
          <w:u w:val="single"/>
          <w:lang w:eastAsia="it-IT"/>
        </w:rPr>
        <w:t>TO</w:t>
      </w:r>
      <w:r>
        <w:rPr>
          <w:rFonts w:ascii="Arial" w:hAnsi="Arial" w:cs="Arial"/>
          <w:b/>
          <w:bCs/>
          <w:sz w:val="18"/>
          <w:szCs w:val="18"/>
          <w:u w:val="single"/>
          <w:lang w:eastAsia="it-IT"/>
        </w:rPr>
        <w:t xml:space="preserve"> </w:t>
      </w:r>
      <w:r w:rsidR="002D22D3">
        <w:rPr>
          <w:rFonts w:ascii="Arial" w:hAnsi="Arial" w:cs="Arial"/>
          <w:b/>
          <w:bCs/>
          <w:sz w:val="18"/>
          <w:szCs w:val="18"/>
          <w:u w:val="single"/>
          <w:lang w:eastAsia="it-IT"/>
        </w:rPr>
        <w:t>IL</w:t>
      </w:r>
      <w:r w:rsidR="007D279C" w:rsidRPr="00A853EE">
        <w:rPr>
          <w:rFonts w:ascii="Arial" w:hAnsi="Arial" w:cs="Arial"/>
          <w:b/>
          <w:bCs/>
          <w:sz w:val="18"/>
          <w:szCs w:val="18"/>
          <w:u w:val="single"/>
          <w:lang w:eastAsia="it-IT"/>
        </w:rPr>
        <w:t xml:space="preserve"> RAPPORTO GREENITALY DI FONDAZIONE SYMBOLA E UNIONCAMERE</w:t>
      </w:r>
      <w:r>
        <w:rPr>
          <w:rFonts w:ascii="Arial" w:hAnsi="Arial" w:cs="Arial"/>
          <w:b/>
          <w:bCs/>
          <w:sz w:val="18"/>
          <w:szCs w:val="18"/>
          <w:u w:val="single"/>
          <w:lang w:eastAsia="it-IT"/>
        </w:rPr>
        <w:t xml:space="preserve"> </w:t>
      </w:r>
      <w:r w:rsidR="009B4711">
        <w:rPr>
          <w:rFonts w:ascii="Arial" w:hAnsi="Arial" w:cs="Arial"/>
          <w:b/>
          <w:bCs/>
          <w:sz w:val="18"/>
          <w:szCs w:val="18"/>
          <w:u w:val="single"/>
          <w:lang w:eastAsia="it-IT"/>
        </w:rPr>
        <w:t>- PIEMONTE</w:t>
      </w:r>
    </w:p>
    <w:p w14:paraId="0E47E77B" w14:textId="77777777" w:rsidR="007D279C" w:rsidRPr="00A853EE" w:rsidRDefault="007D279C" w:rsidP="007D279C">
      <w:pPr>
        <w:shd w:val="clear" w:color="auto" w:fill="FFFFFF"/>
        <w:spacing w:after="0" w:line="240" w:lineRule="auto"/>
        <w:jc w:val="center"/>
        <w:rPr>
          <w:rFonts w:ascii="Arial" w:hAnsi="Arial" w:cs="Arial"/>
          <w:b/>
          <w:bCs/>
          <w:sz w:val="18"/>
          <w:szCs w:val="18"/>
          <w:lang w:eastAsia="it-IT"/>
        </w:rPr>
      </w:pPr>
    </w:p>
    <w:p w14:paraId="77880BE2" w14:textId="77777777" w:rsidR="007D279C" w:rsidRPr="00A853EE" w:rsidRDefault="007D279C" w:rsidP="007D279C">
      <w:pPr>
        <w:shd w:val="clear" w:color="auto" w:fill="FFFFFF"/>
        <w:spacing w:after="0" w:line="240" w:lineRule="auto"/>
        <w:jc w:val="center"/>
        <w:rPr>
          <w:rFonts w:ascii="Arial" w:eastAsiaTheme="minorHAnsi" w:hAnsi="Arial" w:cs="Arial"/>
          <w:b/>
          <w:bCs/>
          <w:color w:val="DA0000"/>
          <w:sz w:val="18"/>
          <w:szCs w:val="18"/>
        </w:rPr>
      </w:pPr>
      <w:r w:rsidRPr="00A853EE">
        <w:rPr>
          <w:rFonts w:ascii="Arial" w:eastAsiaTheme="minorHAnsi" w:hAnsi="Arial" w:cs="Arial"/>
          <w:b/>
          <w:bCs/>
          <w:sz w:val="18"/>
          <w:szCs w:val="18"/>
        </w:rPr>
        <w:t xml:space="preserve">UN’ECONOMIA A MISURA D’UOMO CONTRO LE CRISI </w:t>
      </w:r>
    </w:p>
    <w:p w14:paraId="393CD1C4" w14:textId="77777777" w:rsidR="007D279C" w:rsidRPr="00A853EE" w:rsidRDefault="007D279C" w:rsidP="007D279C">
      <w:pPr>
        <w:shd w:val="clear" w:color="auto" w:fill="FFFFFF"/>
        <w:spacing w:after="0" w:line="240" w:lineRule="auto"/>
        <w:jc w:val="center"/>
        <w:rPr>
          <w:rFonts w:ascii="Arial" w:eastAsiaTheme="minorHAnsi" w:hAnsi="Arial" w:cs="Arial"/>
          <w:color w:val="DA0000"/>
          <w:sz w:val="18"/>
          <w:szCs w:val="18"/>
        </w:rPr>
      </w:pPr>
    </w:p>
    <w:p w14:paraId="6D481EFF" w14:textId="77777777" w:rsidR="007D279C" w:rsidRPr="00A853EE" w:rsidRDefault="007D279C" w:rsidP="007D279C">
      <w:pPr>
        <w:shd w:val="clear" w:color="auto" w:fill="FFFFFF"/>
        <w:spacing w:after="0" w:line="240" w:lineRule="auto"/>
        <w:jc w:val="center"/>
        <w:rPr>
          <w:rFonts w:ascii="Arial" w:hAnsi="Arial" w:cs="Arial"/>
          <w:b/>
          <w:bCs/>
          <w:sz w:val="18"/>
          <w:szCs w:val="18"/>
          <w:lang w:eastAsia="it-IT"/>
        </w:rPr>
      </w:pPr>
      <w:r w:rsidRPr="00A853EE">
        <w:rPr>
          <w:rFonts w:ascii="Arial" w:hAnsi="Arial" w:cs="Arial"/>
          <w:b/>
          <w:bCs/>
          <w:sz w:val="18"/>
          <w:szCs w:val="18"/>
          <w:lang w:eastAsia="it-IT"/>
        </w:rPr>
        <w:t>LE IMPRESE GREEN AFFRONTANO MEGLIO LE CRISI</w:t>
      </w:r>
    </w:p>
    <w:p w14:paraId="02DA11D4" w14:textId="77777777" w:rsidR="007D279C" w:rsidRPr="00A853EE" w:rsidRDefault="007D279C" w:rsidP="007D279C">
      <w:pPr>
        <w:shd w:val="clear" w:color="auto" w:fill="FFFFFF"/>
        <w:spacing w:after="0" w:line="240" w:lineRule="auto"/>
        <w:jc w:val="center"/>
        <w:rPr>
          <w:rFonts w:ascii="Arial" w:hAnsi="Arial" w:cs="Arial"/>
          <w:b/>
          <w:bCs/>
          <w:sz w:val="18"/>
          <w:szCs w:val="18"/>
          <w:lang w:eastAsia="it-IT"/>
        </w:rPr>
      </w:pPr>
    </w:p>
    <w:p w14:paraId="02EAA8CB" w14:textId="40AF3D1D" w:rsidR="007D279C" w:rsidRPr="00A853EE" w:rsidRDefault="00113CFF" w:rsidP="007D279C">
      <w:pPr>
        <w:shd w:val="clear" w:color="auto" w:fill="FFFFFF"/>
        <w:spacing w:after="0" w:line="240" w:lineRule="auto"/>
        <w:jc w:val="center"/>
        <w:rPr>
          <w:rFonts w:ascii="Arial" w:hAnsi="Arial" w:cs="Arial"/>
          <w:b/>
          <w:bCs/>
          <w:sz w:val="18"/>
          <w:szCs w:val="18"/>
          <w:lang w:eastAsia="it-IT"/>
        </w:rPr>
      </w:pPr>
      <w:r>
        <w:rPr>
          <w:rFonts w:ascii="Arial" w:hAnsi="Arial" w:cs="Arial"/>
          <w:b/>
          <w:bCs/>
          <w:sz w:val="18"/>
          <w:szCs w:val="18"/>
          <w:lang w:eastAsia="it-IT"/>
        </w:rPr>
        <w:t>578.450</w:t>
      </w:r>
      <w:r w:rsidR="007D279C" w:rsidRPr="00A853EE">
        <w:rPr>
          <w:rFonts w:ascii="Arial" w:hAnsi="Arial" w:cs="Arial"/>
          <w:b/>
          <w:bCs/>
          <w:sz w:val="18"/>
          <w:szCs w:val="18"/>
          <w:lang w:eastAsia="it-IT"/>
        </w:rPr>
        <w:t xml:space="preserve"> MILA IMPRESE </w:t>
      </w:r>
      <w:r w:rsidR="00324F2F">
        <w:rPr>
          <w:rFonts w:ascii="Arial" w:hAnsi="Arial" w:cs="Arial"/>
          <w:b/>
          <w:bCs/>
          <w:sz w:val="18"/>
          <w:szCs w:val="18"/>
          <w:lang w:eastAsia="it-IT"/>
        </w:rPr>
        <w:t xml:space="preserve">EXTRA-AGRICOLE </w:t>
      </w:r>
      <w:r w:rsidR="007D279C" w:rsidRPr="00A853EE">
        <w:rPr>
          <w:rFonts w:ascii="Arial" w:hAnsi="Arial" w:cs="Arial"/>
          <w:b/>
          <w:bCs/>
          <w:sz w:val="18"/>
          <w:szCs w:val="18"/>
          <w:lang w:eastAsia="it-IT"/>
        </w:rPr>
        <w:t xml:space="preserve">ITALIANE NEGLI ULTIMI </w:t>
      </w:r>
      <w:r w:rsidR="006632FE">
        <w:rPr>
          <w:rFonts w:ascii="Arial" w:hAnsi="Arial" w:cs="Arial"/>
          <w:b/>
          <w:bCs/>
          <w:sz w:val="18"/>
          <w:szCs w:val="18"/>
          <w:lang w:eastAsia="it-IT"/>
        </w:rPr>
        <w:t>6</w:t>
      </w:r>
      <w:r w:rsidR="007D279C" w:rsidRPr="00A853EE">
        <w:rPr>
          <w:rFonts w:ascii="Arial" w:hAnsi="Arial" w:cs="Arial"/>
          <w:b/>
          <w:bCs/>
          <w:sz w:val="18"/>
          <w:szCs w:val="18"/>
          <w:lang w:eastAsia="it-IT"/>
        </w:rPr>
        <w:t xml:space="preserve"> ANNI HANNO INVESTITO SULLA GREEN ECONOMY E SULLA SOSTENIBILITÀ PER AFFRONTARE IL FUTURO</w:t>
      </w:r>
    </w:p>
    <w:p w14:paraId="7F5A1EC1" w14:textId="77777777" w:rsidR="007D279C" w:rsidRPr="00A853EE" w:rsidRDefault="007D279C" w:rsidP="007D279C">
      <w:pPr>
        <w:shd w:val="clear" w:color="auto" w:fill="FFFFFF"/>
        <w:spacing w:after="0" w:line="240" w:lineRule="auto"/>
        <w:jc w:val="center"/>
        <w:rPr>
          <w:rFonts w:ascii="Arial" w:hAnsi="Arial" w:cs="Arial"/>
          <w:b/>
          <w:bCs/>
          <w:sz w:val="18"/>
          <w:szCs w:val="18"/>
          <w:lang w:eastAsia="it-IT"/>
        </w:rPr>
      </w:pPr>
    </w:p>
    <w:p w14:paraId="3F5ACCFE" w14:textId="369C40FD" w:rsidR="007D279C" w:rsidRPr="00A853EE" w:rsidRDefault="007D279C" w:rsidP="007D279C">
      <w:pPr>
        <w:shd w:val="clear" w:color="auto" w:fill="FFFFFF"/>
        <w:spacing w:after="0" w:line="240" w:lineRule="auto"/>
        <w:jc w:val="center"/>
        <w:rPr>
          <w:rFonts w:ascii="Arial" w:hAnsi="Arial" w:cs="Arial"/>
          <w:b/>
          <w:bCs/>
          <w:sz w:val="18"/>
          <w:szCs w:val="18"/>
          <w:lang w:eastAsia="it-IT"/>
        </w:rPr>
      </w:pPr>
      <w:r w:rsidRPr="00A853EE">
        <w:rPr>
          <w:rFonts w:ascii="Arial" w:hAnsi="Arial" w:cs="Arial"/>
          <w:b/>
          <w:bCs/>
          <w:sz w:val="18"/>
          <w:szCs w:val="18"/>
          <w:lang w:eastAsia="it-IT"/>
        </w:rPr>
        <w:t>IN ITALIA 3,</w:t>
      </w:r>
      <w:r w:rsidR="00C9444A">
        <w:rPr>
          <w:rFonts w:ascii="Arial" w:hAnsi="Arial" w:cs="Arial"/>
          <w:b/>
          <w:bCs/>
          <w:sz w:val="18"/>
          <w:szCs w:val="18"/>
          <w:lang w:eastAsia="it-IT"/>
        </w:rPr>
        <w:t>3</w:t>
      </w:r>
      <w:r w:rsidRPr="00A853EE">
        <w:rPr>
          <w:rFonts w:ascii="Arial" w:hAnsi="Arial" w:cs="Arial"/>
          <w:b/>
          <w:bCs/>
          <w:sz w:val="18"/>
          <w:szCs w:val="18"/>
          <w:lang w:eastAsia="it-IT"/>
        </w:rPr>
        <w:t xml:space="preserve"> MILIONI DI GREEN JOBS, IL 13,</w:t>
      </w:r>
      <w:r w:rsidR="00080DE1">
        <w:rPr>
          <w:rFonts w:ascii="Arial" w:hAnsi="Arial" w:cs="Arial"/>
          <w:b/>
          <w:bCs/>
          <w:sz w:val="18"/>
          <w:szCs w:val="18"/>
          <w:lang w:eastAsia="it-IT"/>
        </w:rPr>
        <w:t>8</w:t>
      </w:r>
      <w:r w:rsidRPr="00A853EE">
        <w:rPr>
          <w:rFonts w:ascii="Arial" w:hAnsi="Arial" w:cs="Arial"/>
          <w:b/>
          <w:bCs/>
          <w:sz w:val="18"/>
          <w:szCs w:val="18"/>
          <w:lang w:eastAsia="it-IT"/>
        </w:rPr>
        <w:t>% DEGLI OCCUPATI</w:t>
      </w:r>
    </w:p>
    <w:p w14:paraId="0471EC63" w14:textId="77777777" w:rsidR="007D279C" w:rsidRPr="00A853EE" w:rsidRDefault="007D279C" w:rsidP="007D279C">
      <w:pPr>
        <w:shd w:val="clear" w:color="auto" w:fill="FFFFFF"/>
        <w:spacing w:after="0" w:line="240" w:lineRule="auto"/>
        <w:jc w:val="center"/>
        <w:rPr>
          <w:rFonts w:ascii="Arial" w:hAnsi="Arial" w:cs="Arial"/>
          <w:b/>
          <w:bCs/>
          <w:sz w:val="18"/>
          <w:szCs w:val="18"/>
          <w:lang w:eastAsia="it-IT"/>
        </w:rPr>
      </w:pPr>
    </w:p>
    <w:p w14:paraId="21863BB4" w14:textId="0D7CD24C" w:rsidR="007D279C" w:rsidRPr="00A853EE" w:rsidRDefault="007D279C" w:rsidP="007D279C">
      <w:pPr>
        <w:shd w:val="clear" w:color="auto" w:fill="FFFFFF"/>
        <w:spacing w:after="0" w:line="240" w:lineRule="auto"/>
        <w:jc w:val="center"/>
        <w:rPr>
          <w:rFonts w:ascii="Arial" w:hAnsi="Arial" w:cs="Arial"/>
          <w:sz w:val="18"/>
          <w:szCs w:val="18"/>
          <w:lang w:eastAsia="it-IT"/>
        </w:rPr>
      </w:pPr>
      <w:r w:rsidRPr="00A853EE">
        <w:rPr>
          <w:rFonts w:ascii="Arial" w:hAnsi="Arial" w:cs="Arial"/>
          <w:b/>
          <w:bCs/>
          <w:sz w:val="18"/>
          <w:szCs w:val="18"/>
          <w:lang w:eastAsia="it-IT"/>
        </w:rPr>
        <w:t xml:space="preserve">L’ITALIA È LEADER NELL’ECONOMIA CIRCOLARE E HA LA PIÙ ALTA PERCENTUALE DI AVVIO A RICICLO SULLA TOTALITÀ DEI RIFIUTI: </w:t>
      </w:r>
      <w:r w:rsidR="00080DE1">
        <w:rPr>
          <w:rFonts w:ascii="Arial" w:hAnsi="Arial" w:cs="Arial"/>
          <w:b/>
          <w:bCs/>
          <w:sz w:val="18"/>
          <w:szCs w:val="18"/>
          <w:lang w:eastAsia="it-IT"/>
        </w:rPr>
        <w:t>92,6</w:t>
      </w:r>
      <w:r w:rsidRPr="00A853EE">
        <w:rPr>
          <w:rFonts w:ascii="Arial" w:hAnsi="Arial" w:cs="Arial"/>
          <w:b/>
          <w:bCs/>
          <w:sz w:val="18"/>
          <w:szCs w:val="18"/>
          <w:lang w:eastAsia="it-IT"/>
        </w:rPr>
        <w:t>%, UN TASSO DI GRAN LUNGA SUPERIORE ALLA MEDIA EUROPEA (</w:t>
      </w:r>
      <w:r w:rsidR="00EE4D42">
        <w:rPr>
          <w:rFonts w:ascii="Arial" w:hAnsi="Arial" w:cs="Arial"/>
          <w:b/>
          <w:bCs/>
          <w:sz w:val="18"/>
          <w:szCs w:val="18"/>
          <w:lang w:eastAsia="it-IT"/>
        </w:rPr>
        <w:t>60</w:t>
      </w:r>
      <w:r w:rsidRPr="00A853EE">
        <w:rPr>
          <w:rFonts w:ascii="Arial" w:hAnsi="Arial" w:cs="Arial"/>
          <w:b/>
          <w:bCs/>
          <w:sz w:val="18"/>
          <w:szCs w:val="18"/>
          <w:lang w:eastAsia="it-IT"/>
        </w:rPr>
        <w:t>%)</w:t>
      </w:r>
    </w:p>
    <w:p w14:paraId="35AD2289" w14:textId="77777777" w:rsidR="007D279C" w:rsidRDefault="007D279C" w:rsidP="007D279C">
      <w:pPr>
        <w:shd w:val="clear" w:color="auto" w:fill="FFFFFF"/>
        <w:spacing w:after="0" w:line="240" w:lineRule="auto"/>
        <w:jc w:val="both"/>
        <w:rPr>
          <w:rFonts w:ascii="Arial" w:hAnsi="Arial" w:cs="Arial"/>
          <w:b/>
          <w:bCs/>
          <w:sz w:val="18"/>
          <w:szCs w:val="18"/>
          <w:lang w:eastAsia="it-IT"/>
        </w:rPr>
      </w:pPr>
    </w:p>
    <w:p w14:paraId="6519A1A4" w14:textId="77777777" w:rsidR="009B4711" w:rsidRDefault="009B4711" w:rsidP="007D279C">
      <w:pPr>
        <w:shd w:val="clear" w:color="auto" w:fill="FFFFFF"/>
        <w:spacing w:after="0" w:line="240" w:lineRule="auto"/>
        <w:jc w:val="both"/>
        <w:rPr>
          <w:rFonts w:ascii="Arial" w:hAnsi="Arial" w:cs="Arial"/>
          <w:b/>
          <w:bCs/>
          <w:sz w:val="18"/>
          <w:szCs w:val="18"/>
          <w:lang w:eastAsia="it-IT"/>
        </w:rPr>
      </w:pPr>
    </w:p>
    <w:p w14:paraId="475FBCBD" w14:textId="77777777" w:rsidR="009B4711" w:rsidRPr="009B4711" w:rsidRDefault="009B4711" w:rsidP="009B4711">
      <w:pPr>
        <w:shd w:val="clear" w:color="auto" w:fill="FFFFFF"/>
        <w:spacing w:after="0" w:line="240" w:lineRule="auto"/>
        <w:jc w:val="center"/>
        <w:rPr>
          <w:rFonts w:ascii="Arial" w:hAnsi="Arial" w:cs="Arial"/>
          <w:b/>
          <w:bCs/>
          <w:sz w:val="18"/>
          <w:szCs w:val="18"/>
          <w:lang w:eastAsia="it-IT"/>
        </w:rPr>
      </w:pPr>
      <w:r w:rsidRPr="009B4711">
        <w:rPr>
          <w:rFonts w:ascii="Arial" w:hAnsi="Arial" w:cs="Arial"/>
          <w:b/>
          <w:bCs/>
          <w:sz w:val="18"/>
          <w:szCs w:val="18"/>
          <w:lang w:eastAsia="it-IT"/>
        </w:rPr>
        <w:t>IL PIEMONTE È LA OTTAVA REGIONE ITALIANA PER NUMERO DI IMPRESE CHE EFFETTUANO ECO-INVESTIMENTI</w:t>
      </w:r>
    </w:p>
    <w:p w14:paraId="3ED87667" w14:textId="77777777" w:rsidR="009B4711" w:rsidRPr="009B4711" w:rsidRDefault="009B4711" w:rsidP="009B4711">
      <w:pPr>
        <w:shd w:val="clear" w:color="auto" w:fill="FFFFFF"/>
        <w:spacing w:after="0" w:line="240" w:lineRule="auto"/>
        <w:jc w:val="center"/>
        <w:rPr>
          <w:rFonts w:ascii="Arial" w:hAnsi="Arial" w:cs="Arial"/>
          <w:b/>
          <w:bCs/>
          <w:sz w:val="18"/>
          <w:szCs w:val="18"/>
          <w:lang w:eastAsia="it-IT"/>
        </w:rPr>
      </w:pPr>
    </w:p>
    <w:p w14:paraId="7474FECC" w14:textId="11431BCC" w:rsidR="009B4711" w:rsidRPr="009B4711" w:rsidRDefault="009B4711" w:rsidP="009B4711">
      <w:pPr>
        <w:shd w:val="clear" w:color="auto" w:fill="FFFFFF"/>
        <w:spacing w:after="0" w:line="240" w:lineRule="auto"/>
        <w:jc w:val="center"/>
        <w:rPr>
          <w:rFonts w:ascii="Arial" w:hAnsi="Arial" w:cs="Arial"/>
          <w:b/>
          <w:bCs/>
          <w:sz w:val="18"/>
          <w:szCs w:val="18"/>
          <w:lang w:eastAsia="it-IT"/>
        </w:rPr>
      </w:pPr>
      <w:r w:rsidRPr="009B4711">
        <w:rPr>
          <w:rFonts w:ascii="Arial" w:hAnsi="Arial" w:cs="Arial"/>
          <w:b/>
          <w:bCs/>
          <w:sz w:val="18"/>
          <w:szCs w:val="18"/>
          <w:lang w:eastAsia="it-IT"/>
        </w:rPr>
        <w:t>TORINO QUARTA PROVINCIA IN ITALIA PER NUMERO DI IMPRESE CHE INVESTONO GREEN</w:t>
      </w:r>
    </w:p>
    <w:p w14:paraId="4E12B9CF" w14:textId="77777777" w:rsidR="007D279C" w:rsidRPr="00A853EE" w:rsidRDefault="007D279C" w:rsidP="007D279C">
      <w:pPr>
        <w:shd w:val="clear" w:color="auto" w:fill="FFFFFF"/>
        <w:spacing w:after="0" w:line="240" w:lineRule="auto"/>
        <w:jc w:val="both"/>
        <w:rPr>
          <w:rFonts w:ascii="Arial" w:hAnsi="Arial" w:cs="Arial"/>
          <w:b/>
          <w:bCs/>
          <w:sz w:val="18"/>
          <w:szCs w:val="18"/>
          <w:lang w:eastAsia="it-IT"/>
        </w:rPr>
      </w:pPr>
    </w:p>
    <w:p w14:paraId="66DBA5D7" w14:textId="77777777" w:rsidR="009F23F2" w:rsidRPr="00A853EE" w:rsidRDefault="009F23F2" w:rsidP="009F23F2">
      <w:pPr>
        <w:shd w:val="clear" w:color="auto" w:fill="FFFFFF"/>
        <w:spacing w:after="0" w:line="240" w:lineRule="auto"/>
        <w:jc w:val="both"/>
        <w:rPr>
          <w:rFonts w:ascii="Arial" w:hAnsi="Arial" w:cs="Arial"/>
          <w:b/>
          <w:bCs/>
          <w:sz w:val="18"/>
          <w:szCs w:val="18"/>
          <w:lang w:eastAsia="it-IT"/>
        </w:rPr>
      </w:pPr>
    </w:p>
    <w:p w14:paraId="3F86F33E" w14:textId="227BA61F" w:rsidR="00513B26" w:rsidRPr="009F23F2" w:rsidRDefault="009F23F2" w:rsidP="00513B26">
      <w:pPr>
        <w:jc w:val="both"/>
        <w:rPr>
          <w:rFonts w:ascii="Arial" w:hAnsi="Arial" w:cs="Arial"/>
          <w:sz w:val="20"/>
          <w:szCs w:val="20"/>
        </w:rPr>
      </w:pPr>
      <w:r w:rsidRPr="009F23F2">
        <w:rPr>
          <w:rFonts w:ascii="Arial" w:hAnsi="Arial" w:cs="Arial"/>
          <w:b/>
          <w:bCs/>
          <w:sz w:val="16"/>
          <w:szCs w:val="16"/>
          <w:lang w:eastAsia="it-IT"/>
        </w:rPr>
        <w:t xml:space="preserve">REALACCI (FONDAZIONE SYMBOLA): </w:t>
      </w:r>
      <w:r w:rsidR="00513B26" w:rsidRPr="00513B26">
        <w:rPr>
          <w:rFonts w:ascii="Arial" w:hAnsi="Arial" w:cs="Arial"/>
          <w:b/>
          <w:bCs/>
          <w:sz w:val="16"/>
          <w:szCs w:val="16"/>
        </w:rPr>
        <w:t xml:space="preserve">“I DATI DEL </w:t>
      </w:r>
      <w:proofErr w:type="gramStart"/>
      <w:r w:rsidR="00513B26" w:rsidRPr="00513B26">
        <w:rPr>
          <w:rFonts w:ascii="Arial" w:hAnsi="Arial" w:cs="Arial"/>
          <w:b/>
          <w:bCs/>
          <w:sz w:val="16"/>
          <w:szCs w:val="16"/>
        </w:rPr>
        <w:t>16°</w:t>
      </w:r>
      <w:proofErr w:type="gramEnd"/>
      <w:r w:rsidR="00513B26" w:rsidRPr="00513B26">
        <w:rPr>
          <w:rFonts w:ascii="Arial" w:hAnsi="Arial" w:cs="Arial"/>
          <w:b/>
          <w:bCs/>
          <w:sz w:val="16"/>
          <w:szCs w:val="16"/>
        </w:rPr>
        <w:t xml:space="preserve"> RAPPORTO GREENITALY CONFERMANO LA CONCRETEZZA DELL’INVITO DEL PRESIDENTE MATTARELLA A FARE DELLA TRANSIZIONE VERDE E DELLA DECARBONIZZAZIONE UN IMPORTANTE FATTORE DI COMPETITIVITÀ. C’È UN’ITALIA CHE PUÒ ESSERE PROTAGONISTA CON L’EUROPA ALLA COP30 A BELÈM: FA DELLA TRANSIZIONE VERDE UN’OPPORTUNITÀ PER RAFFORZARE L’ECONOMIA E LA SOCIETÀ. NEL RAPPORTO GREENITALY SI COGLIE UN’ACCELERAZIONE VERSO UN’ECONOMIA PIÙ A MISURA D’UOMO CHE PUNTA SULLA SOSTENIBILITÀ, SULL’INNOVAZIONE, SULLE COMUNITÀ E SUI TERRITORI. SIAMO UNA SUPERPOTENZA EUROPEA DELL’ECONOMIA CIRCOLARE E QUESTO CI RENDE PIÙ COMPETITIVI E CAPACI DI FUTURO. POSSIAMO DARE FORZA A QUESTA NOSTRA ECONOMIA E A QUESTA IDEA DI ITALIA GRAZIE ALLE SCELTE CORAGGIOSE COMPIUTE DALL’UNIONE EUROPEA CON IL NEXT GENERATION UE E AL PNRR. LA BUROCRAZIA INUTILE OSTACOLA IL CAMBIAMENTO NECESSARIO, MA POSSIAMO FARCELA SE MOBILITIAMO LE MIGLIORI ENERGIE DEL PAESE SENZA LASCIARE INDIETRO NESSUNO, SENZA LASCIARE SOLO NESSUNO, COME RECITA IL MANIFESTO DI ASSISI, PROMOSSO DALLA FONDAZIONE SYMBOLA E DAL SACRO CONVENTO”.</w:t>
      </w:r>
    </w:p>
    <w:p w14:paraId="13761BD3" w14:textId="372E6DFC" w:rsidR="009F23F2" w:rsidRPr="009F23F2" w:rsidRDefault="009F23F2" w:rsidP="009F23F2">
      <w:pPr>
        <w:shd w:val="clear" w:color="auto" w:fill="FFFFFF"/>
        <w:spacing w:after="0" w:line="240" w:lineRule="auto"/>
        <w:jc w:val="both"/>
        <w:rPr>
          <w:rFonts w:ascii="Arial" w:hAnsi="Arial" w:cs="Arial"/>
          <w:b/>
          <w:bCs/>
          <w:sz w:val="16"/>
          <w:szCs w:val="16"/>
        </w:rPr>
      </w:pPr>
    </w:p>
    <w:p w14:paraId="16D688F8" w14:textId="77777777" w:rsidR="00F26E63" w:rsidRPr="009F23F2" w:rsidRDefault="00F26E63" w:rsidP="007D279C">
      <w:pPr>
        <w:shd w:val="clear" w:color="auto" w:fill="FFFFFF"/>
        <w:spacing w:after="0" w:line="240" w:lineRule="auto"/>
        <w:jc w:val="both"/>
        <w:rPr>
          <w:rFonts w:ascii="Arial" w:hAnsi="Arial" w:cs="Arial"/>
          <w:b/>
          <w:bCs/>
          <w:sz w:val="16"/>
          <w:szCs w:val="16"/>
        </w:rPr>
      </w:pPr>
    </w:p>
    <w:p w14:paraId="2CB2DA88" w14:textId="24CB0ACB" w:rsidR="00F26E63" w:rsidRPr="009F23F2" w:rsidRDefault="009F23F2" w:rsidP="003D0C0E">
      <w:pPr>
        <w:shd w:val="clear" w:color="auto" w:fill="FFFFFF"/>
        <w:spacing w:after="0" w:line="240" w:lineRule="auto"/>
        <w:jc w:val="both"/>
        <w:rPr>
          <w:rFonts w:ascii="Arial" w:hAnsi="Arial" w:cs="Arial"/>
          <w:b/>
          <w:bCs/>
          <w:sz w:val="16"/>
          <w:szCs w:val="16"/>
        </w:rPr>
      </w:pPr>
      <w:r w:rsidRPr="009F23F2">
        <w:rPr>
          <w:rFonts w:ascii="Arial" w:hAnsi="Arial" w:cs="Arial"/>
          <w:b/>
          <w:bCs/>
          <w:sz w:val="16"/>
          <w:szCs w:val="16"/>
        </w:rPr>
        <w:t>PRETE (UNIONCAMERE): “LA TRANSIZIONE GREEN NON È PIÙ SOLTANTO UNA SCELTA ETICA O AMBIENTALE: È IL NUOVO SPAZIO DOVE SI MISURANO COMPETITIVITÀ, PRODUTTIVITÀ E CAPACITÀ INDUSTRIALE DEI PAESI. OGGI LO VEDIAMO CON CHIAREZZA: LE IMPRESE CHE INVESTONO CON OCULATEZZA E CONCRETEZZA IN TECNOLOGIE NET-ZERO, DALL’EFFICIENZA ENERGETICA AI MATERIALI CIRCOLARI, DAI SISTEMI FOTOVOLTAICI DI NUOVA GENERAZIONE ALL’IDROGENO, NON SOLO RIDUCONO LE EMISSIONI MA PERFORMANO MEGLIO. NOSTRE ANALISI RECENTI MOSTRANO CHE LE AZIENDE EUROPEE CHE DETENGONO BREVETTI IN TECNOLOGIE GREEN STRATEGICHE REGISTRANO IN MEDIA UN LIVELLO DI PRODUTTIVITÀ PIÙ ALTO DEL 17%</w:t>
      </w:r>
      <w:r w:rsidR="00690463">
        <w:rPr>
          <w:rFonts w:ascii="Arial" w:hAnsi="Arial" w:cs="Arial"/>
          <w:b/>
          <w:bCs/>
          <w:sz w:val="16"/>
          <w:szCs w:val="16"/>
        </w:rPr>
        <w:t xml:space="preserve"> RISPETTO ALLE ALTRE IMPRESE CHE HANNO SEMPRE BREVETTI MA NON GREEN</w:t>
      </w:r>
      <w:r w:rsidRPr="009F23F2">
        <w:rPr>
          <w:rFonts w:ascii="Arial" w:hAnsi="Arial" w:cs="Arial"/>
          <w:b/>
          <w:bCs/>
          <w:sz w:val="16"/>
          <w:szCs w:val="16"/>
        </w:rPr>
        <w:t>. IL GREEN, QUINDI, PUÒ RAPPRESENTARE UN MOLTIPLICATORE DI VALORE. IL VERO LIMITE OGGI -HA SOTTOLINEATO IL PRESIDENTE- NON È LA VOLONTÀ DELLE IMPRESE, CHE IN ITALIA STANNO DIMOSTRANDO DI CREDERE NELLA SOSTENIBILITÀ COME LEVA DI CRESCITA, MA LA DISPONIBILITÀ DI PROFESSIONISTI QUALIFICATI. LE IMPRESE INCONTRANO DIFFICOLTÀ DI REPERIMENTO PER OLTRE LA METÀ DEI GREEN JOBS RICERCATI, E QUESTO BLOCCA GLI INVESTIMENTI. PER QUESTO LA SFIDA NON È “SE” FARE LA TRANSIZIONE, MA “COME” FARLA DIVENTARE UN FATTORE DI COMPETITIVITÀ NAZIONALE”.</w:t>
      </w:r>
    </w:p>
    <w:p w14:paraId="4135DA5F" w14:textId="77777777" w:rsidR="00A853EE" w:rsidRDefault="00A853EE" w:rsidP="007D279C">
      <w:pPr>
        <w:shd w:val="clear" w:color="auto" w:fill="FFFFFF"/>
        <w:spacing w:after="0" w:line="240" w:lineRule="auto"/>
        <w:jc w:val="both"/>
        <w:rPr>
          <w:b/>
          <w:bCs/>
          <w:sz w:val="24"/>
          <w:szCs w:val="24"/>
        </w:rPr>
      </w:pPr>
    </w:p>
    <w:p w14:paraId="7C790633" w14:textId="658882E2" w:rsidR="007D279C" w:rsidRDefault="007D279C" w:rsidP="00B35D0C">
      <w:pPr>
        <w:shd w:val="clear" w:color="auto" w:fill="FFFFFF"/>
        <w:spacing w:after="0" w:line="240" w:lineRule="auto"/>
        <w:jc w:val="both"/>
        <w:rPr>
          <w:rFonts w:ascii="Arial" w:hAnsi="Arial" w:cs="Arial"/>
          <w:b/>
          <w:bCs/>
          <w:sz w:val="20"/>
          <w:szCs w:val="20"/>
          <w:lang w:eastAsia="it-IT"/>
        </w:rPr>
      </w:pPr>
      <w:r w:rsidRPr="009F23F2">
        <w:rPr>
          <w:rFonts w:ascii="Arial" w:hAnsi="Arial" w:cs="Arial"/>
          <w:b/>
          <w:bCs/>
          <w:sz w:val="20"/>
          <w:szCs w:val="20"/>
        </w:rPr>
        <w:t xml:space="preserve">Roma, </w:t>
      </w:r>
      <w:r w:rsidR="00493FA5" w:rsidRPr="009F23F2">
        <w:rPr>
          <w:rFonts w:ascii="Arial" w:hAnsi="Arial" w:cs="Arial"/>
          <w:b/>
          <w:bCs/>
          <w:sz w:val="20"/>
          <w:szCs w:val="20"/>
        </w:rPr>
        <w:t>11</w:t>
      </w:r>
      <w:r w:rsidRPr="009F23F2">
        <w:rPr>
          <w:rFonts w:ascii="Arial" w:hAnsi="Arial" w:cs="Arial"/>
          <w:b/>
          <w:bCs/>
          <w:sz w:val="20"/>
          <w:szCs w:val="20"/>
        </w:rPr>
        <w:t xml:space="preserve"> novembre 2025. </w:t>
      </w:r>
      <w:r w:rsidRPr="009F23F2">
        <w:rPr>
          <w:rFonts w:ascii="Arial" w:hAnsi="Arial" w:cs="Arial"/>
          <w:b/>
          <w:bCs/>
          <w:sz w:val="20"/>
          <w:szCs w:val="20"/>
          <w:lang w:eastAsia="it-IT"/>
        </w:rPr>
        <w:t xml:space="preserve">Il Rapporto </w:t>
      </w:r>
      <w:proofErr w:type="spellStart"/>
      <w:r w:rsidRPr="009F23F2">
        <w:rPr>
          <w:rFonts w:ascii="Arial" w:hAnsi="Arial" w:cs="Arial"/>
          <w:b/>
          <w:bCs/>
          <w:sz w:val="20"/>
          <w:szCs w:val="20"/>
          <w:lang w:eastAsia="it-IT"/>
        </w:rPr>
        <w:t>GreenItaly</w:t>
      </w:r>
      <w:proofErr w:type="spellEnd"/>
      <w:r w:rsidRPr="009F23F2">
        <w:rPr>
          <w:rFonts w:ascii="Arial" w:hAnsi="Arial" w:cs="Arial"/>
          <w:b/>
          <w:bCs/>
          <w:sz w:val="20"/>
          <w:szCs w:val="20"/>
          <w:lang w:eastAsia="it-IT"/>
        </w:rPr>
        <w:t xml:space="preserve">, arrivato alla sedicesima edizione, è realizzato dalla Fondazione Symbola, da Unioncamere e dal Centro Studi Tagliacarne con il patrocinio del Ministero dell’Ambiente e della Sicurezza Energetica. Al rapporto hanno collaborato </w:t>
      </w:r>
      <w:proofErr w:type="spellStart"/>
      <w:r w:rsidRPr="009F23F2">
        <w:rPr>
          <w:rFonts w:ascii="Arial" w:hAnsi="Arial" w:cs="Arial"/>
          <w:b/>
          <w:bCs/>
          <w:sz w:val="20"/>
          <w:szCs w:val="20"/>
          <w:lang w:eastAsia="it-IT"/>
        </w:rPr>
        <w:t>Conai</w:t>
      </w:r>
      <w:proofErr w:type="spellEnd"/>
      <w:r w:rsidRPr="009F23F2">
        <w:rPr>
          <w:rFonts w:ascii="Arial" w:hAnsi="Arial" w:cs="Arial"/>
          <w:b/>
          <w:bCs/>
          <w:sz w:val="20"/>
          <w:szCs w:val="20"/>
          <w:lang w:eastAsia="it-IT"/>
        </w:rPr>
        <w:t xml:space="preserve">, Novamont, </w:t>
      </w:r>
      <w:proofErr w:type="spellStart"/>
      <w:r w:rsidRPr="009F23F2">
        <w:rPr>
          <w:rFonts w:ascii="Arial" w:hAnsi="Arial" w:cs="Arial"/>
          <w:b/>
          <w:bCs/>
          <w:sz w:val="20"/>
          <w:szCs w:val="20"/>
          <w:lang w:eastAsia="it-IT"/>
        </w:rPr>
        <w:t>Ecopneus</w:t>
      </w:r>
      <w:proofErr w:type="spellEnd"/>
      <w:r w:rsidRPr="009F23F2">
        <w:rPr>
          <w:rFonts w:ascii="Arial" w:hAnsi="Arial" w:cs="Arial"/>
          <w:b/>
          <w:bCs/>
          <w:sz w:val="20"/>
          <w:szCs w:val="20"/>
          <w:lang w:eastAsia="it-IT"/>
        </w:rPr>
        <w:t xml:space="preserve">, Enel e molte organizzazioni e oltre </w:t>
      </w:r>
      <w:r w:rsidR="00B316A8" w:rsidRPr="009F23F2">
        <w:rPr>
          <w:rFonts w:ascii="Arial" w:hAnsi="Arial" w:cs="Arial"/>
          <w:b/>
          <w:bCs/>
          <w:sz w:val="20"/>
          <w:szCs w:val="20"/>
          <w:lang w:eastAsia="it-IT"/>
        </w:rPr>
        <w:t>20</w:t>
      </w:r>
      <w:r w:rsidRPr="009F23F2">
        <w:rPr>
          <w:rFonts w:ascii="Arial" w:hAnsi="Arial" w:cs="Arial"/>
          <w:b/>
          <w:bCs/>
          <w:sz w:val="20"/>
          <w:szCs w:val="20"/>
          <w:lang w:eastAsia="it-IT"/>
        </w:rPr>
        <w:t xml:space="preserve"> esperti.</w:t>
      </w:r>
      <w:r w:rsidRPr="009F23F2">
        <w:rPr>
          <w:rFonts w:ascii="Arial" w:hAnsi="Arial" w:cs="Arial"/>
          <w:sz w:val="20"/>
          <w:szCs w:val="20"/>
          <w:lang w:eastAsia="it-IT"/>
        </w:rPr>
        <w:t xml:space="preserve"> </w:t>
      </w:r>
      <w:r w:rsidRPr="009F23F2">
        <w:rPr>
          <w:rFonts w:ascii="Arial" w:hAnsi="Arial" w:cs="Arial"/>
          <w:b/>
          <w:bCs/>
          <w:sz w:val="20"/>
          <w:szCs w:val="20"/>
          <w:lang w:eastAsia="it-IT"/>
        </w:rPr>
        <w:t>È</w:t>
      </w:r>
      <w:r w:rsidRPr="009F23F2">
        <w:rPr>
          <w:rFonts w:ascii="Arial" w:hAnsi="Arial" w:cs="Arial"/>
          <w:sz w:val="20"/>
          <w:szCs w:val="20"/>
          <w:lang w:eastAsia="it-IT"/>
        </w:rPr>
        <w:t xml:space="preserve"> </w:t>
      </w:r>
      <w:r w:rsidRPr="009F23F2">
        <w:rPr>
          <w:rFonts w:ascii="Arial" w:hAnsi="Arial" w:cs="Arial"/>
          <w:b/>
          <w:bCs/>
          <w:sz w:val="20"/>
          <w:szCs w:val="20"/>
          <w:lang w:eastAsia="it-IT"/>
        </w:rPr>
        <w:t xml:space="preserve">stato presentato oggi da Ermete Realacci, presidente della Fondazione Symbola; Andrea Prete, presidente Unioncamere; Gilberto Pichetto Fratin, ministro dell’Ambiente e della Sicurezza Energetica; </w:t>
      </w:r>
      <w:r w:rsidR="00B35D0C" w:rsidRPr="00B35D0C">
        <w:rPr>
          <w:rFonts w:ascii="Arial" w:hAnsi="Arial" w:cs="Arial"/>
          <w:b/>
          <w:bCs/>
          <w:sz w:val="20"/>
          <w:szCs w:val="20"/>
          <w:lang w:eastAsia="it-IT"/>
        </w:rPr>
        <w:t>Alessandro Rinaldi</w:t>
      </w:r>
      <w:r w:rsidR="00B35D0C">
        <w:rPr>
          <w:rFonts w:ascii="Arial" w:hAnsi="Arial" w:cs="Arial"/>
          <w:b/>
          <w:bCs/>
          <w:sz w:val="20"/>
          <w:szCs w:val="20"/>
          <w:lang w:eastAsia="it-IT"/>
        </w:rPr>
        <w:t xml:space="preserve">, </w:t>
      </w:r>
      <w:proofErr w:type="gramStart"/>
      <w:r w:rsidR="00B35D0C">
        <w:rPr>
          <w:rFonts w:ascii="Arial" w:hAnsi="Arial" w:cs="Arial"/>
          <w:b/>
          <w:bCs/>
          <w:sz w:val="20"/>
          <w:szCs w:val="20"/>
          <w:lang w:eastAsia="it-IT"/>
        </w:rPr>
        <w:t>v</w:t>
      </w:r>
      <w:r w:rsidR="00B35D0C" w:rsidRPr="00B35D0C">
        <w:rPr>
          <w:rFonts w:ascii="Arial" w:hAnsi="Arial" w:cs="Arial"/>
          <w:b/>
          <w:bCs/>
          <w:sz w:val="20"/>
          <w:szCs w:val="20"/>
          <w:lang w:eastAsia="it-IT"/>
        </w:rPr>
        <w:t xml:space="preserve">ice </w:t>
      </w:r>
      <w:r w:rsidR="00B35D0C">
        <w:rPr>
          <w:rFonts w:ascii="Arial" w:hAnsi="Arial" w:cs="Arial"/>
          <w:b/>
          <w:bCs/>
          <w:sz w:val="20"/>
          <w:szCs w:val="20"/>
          <w:lang w:eastAsia="it-IT"/>
        </w:rPr>
        <w:t>d</w:t>
      </w:r>
      <w:r w:rsidR="00B35D0C" w:rsidRPr="00B35D0C">
        <w:rPr>
          <w:rFonts w:ascii="Arial" w:hAnsi="Arial" w:cs="Arial"/>
          <w:b/>
          <w:bCs/>
          <w:sz w:val="20"/>
          <w:szCs w:val="20"/>
          <w:lang w:eastAsia="it-IT"/>
        </w:rPr>
        <w:t>irettore</w:t>
      </w:r>
      <w:proofErr w:type="gramEnd"/>
      <w:r w:rsidR="00B35D0C" w:rsidRPr="00B35D0C">
        <w:rPr>
          <w:rFonts w:ascii="Arial" w:hAnsi="Arial" w:cs="Arial"/>
          <w:b/>
          <w:bCs/>
          <w:sz w:val="20"/>
          <w:szCs w:val="20"/>
          <w:lang w:eastAsia="it-IT"/>
        </w:rPr>
        <w:t xml:space="preserve"> </w:t>
      </w:r>
      <w:r w:rsidR="00B35D0C">
        <w:rPr>
          <w:rFonts w:ascii="Arial" w:hAnsi="Arial" w:cs="Arial"/>
          <w:b/>
          <w:bCs/>
          <w:sz w:val="20"/>
          <w:szCs w:val="20"/>
          <w:lang w:eastAsia="it-IT"/>
        </w:rPr>
        <w:t>g</w:t>
      </w:r>
      <w:r w:rsidR="00B35D0C" w:rsidRPr="00B35D0C">
        <w:rPr>
          <w:rFonts w:ascii="Arial" w:hAnsi="Arial" w:cs="Arial"/>
          <w:b/>
          <w:bCs/>
          <w:sz w:val="20"/>
          <w:szCs w:val="20"/>
          <w:lang w:eastAsia="it-IT"/>
        </w:rPr>
        <w:t>enerale Centro Studi</w:t>
      </w:r>
      <w:r w:rsidR="00B35D0C">
        <w:rPr>
          <w:rFonts w:ascii="Arial" w:hAnsi="Arial" w:cs="Arial"/>
          <w:b/>
          <w:bCs/>
          <w:sz w:val="20"/>
          <w:szCs w:val="20"/>
          <w:lang w:eastAsia="it-IT"/>
        </w:rPr>
        <w:t xml:space="preserve"> </w:t>
      </w:r>
      <w:r w:rsidR="00B35D0C" w:rsidRPr="00B35D0C">
        <w:rPr>
          <w:rFonts w:ascii="Arial" w:hAnsi="Arial" w:cs="Arial"/>
          <w:b/>
          <w:bCs/>
          <w:sz w:val="20"/>
          <w:szCs w:val="20"/>
          <w:lang w:eastAsia="it-IT"/>
        </w:rPr>
        <w:t>Guglielmo Tagliacarne</w:t>
      </w:r>
      <w:r w:rsidR="00B35D0C">
        <w:rPr>
          <w:rFonts w:ascii="Arial" w:hAnsi="Arial" w:cs="Arial"/>
          <w:b/>
          <w:bCs/>
          <w:sz w:val="20"/>
          <w:szCs w:val="20"/>
          <w:lang w:eastAsia="it-IT"/>
        </w:rPr>
        <w:t xml:space="preserve">; </w:t>
      </w:r>
      <w:r w:rsidRPr="009F23F2">
        <w:rPr>
          <w:rFonts w:ascii="Arial" w:hAnsi="Arial" w:cs="Arial"/>
          <w:b/>
          <w:bCs/>
          <w:sz w:val="20"/>
          <w:szCs w:val="20"/>
          <w:lang w:eastAsia="it-IT"/>
        </w:rPr>
        <w:t>Giuseppe Tripoli, segretario generale Unioncamere. Sono intervenuti</w:t>
      </w:r>
      <w:r w:rsidR="00946668" w:rsidRPr="009F23F2">
        <w:rPr>
          <w:rFonts w:ascii="Arial" w:hAnsi="Arial" w:cs="Arial"/>
          <w:b/>
          <w:bCs/>
          <w:sz w:val="20"/>
          <w:szCs w:val="20"/>
          <w:lang w:eastAsia="it-IT"/>
        </w:rPr>
        <w:t xml:space="preserve"> Francesco La Camera, direttore generale IRENA;</w:t>
      </w:r>
      <w:r w:rsidRPr="009F23F2">
        <w:rPr>
          <w:rFonts w:ascii="Arial" w:hAnsi="Arial" w:cs="Arial"/>
          <w:b/>
          <w:bCs/>
          <w:sz w:val="20"/>
          <w:szCs w:val="20"/>
          <w:lang w:eastAsia="it-IT"/>
        </w:rPr>
        <w:t xml:space="preserve"> Giulia Gregori, Responsabile Corporate Strategy </w:t>
      </w:r>
      <w:proofErr w:type="spellStart"/>
      <w:r w:rsidRPr="009F23F2">
        <w:rPr>
          <w:rFonts w:ascii="Arial" w:hAnsi="Arial" w:cs="Arial"/>
          <w:b/>
          <w:bCs/>
          <w:sz w:val="20"/>
          <w:szCs w:val="20"/>
          <w:lang w:eastAsia="it-IT"/>
        </w:rPr>
        <w:t>Implementation</w:t>
      </w:r>
      <w:proofErr w:type="spellEnd"/>
      <w:r w:rsidRPr="009F23F2">
        <w:rPr>
          <w:rFonts w:ascii="Arial" w:hAnsi="Arial" w:cs="Arial"/>
          <w:b/>
          <w:bCs/>
          <w:sz w:val="20"/>
          <w:szCs w:val="20"/>
          <w:lang w:eastAsia="it-IT"/>
        </w:rPr>
        <w:t xml:space="preserve"> and Engagement Novamont; </w:t>
      </w:r>
      <w:r w:rsidR="00A853EE" w:rsidRPr="009F23F2">
        <w:rPr>
          <w:rFonts w:ascii="Arial" w:hAnsi="Arial" w:cs="Arial"/>
          <w:b/>
          <w:bCs/>
          <w:sz w:val="20"/>
          <w:szCs w:val="20"/>
          <w:lang w:eastAsia="it-IT"/>
        </w:rPr>
        <w:t xml:space="preserve">Giuseppina Carnimeo, direttore generale </w:t>
      </w:r>
      <w:proofErr w:type="spellStart"/>
      <w:r w:rsidR="00A853EE" w:rsidRPr="009F23F2">
        <w:rPr>
          <w:rFonts w:ascii="Arial" w:hAnsi="Arial" w:cs="Arial"/>
          <w:b/>
          <w:bCs/>
          <w:sz w:val="20"/>
          <w:szCs w:val="20"/>
          <w:lang w:eastAsia="it-IT"/>
        </w:rPr>
        <w:t>Ecopneus</w:t>
      </w:r>
      <w:proofErr w:type="spellEnd"/>
      <w:r w:rsidR="00A853EE" w:rsidRPr="009F23F2">
        <w:rPr>
          <w:rFonts w:ascii="Arial" w:hAnsi="Arial" w:cs="Arial"/>
          <w:b/>
          <w:bCs/>
          <w:sz w:val="20"/>
          <w:szCs w:val="20"/>
          <w:lang w:eastAsia="it-IT"/>
        </w:rPr>
        <w:t xml:space="preserve">; </w:t>
      </w:r>
      <w:r w:rsidRPr="009F23F2">
        <w:rPr>
          <w:rFonts w:ascii="Arial" w:hAnsi="Arial" w:cs="Arial"/>
          <w:b/>
          <w:bCs/>
          <w:sz w:val="20"/>
          <w:szCs w:val="20"/>
          <w:lang w:eastAsia="it-IT"/>
        </w:rPr>
        <w:t>Simona Fontana, direttore generale CONAI; Nicola Lanzetta, direttore Italia di Enel; Angelica Agosta, comitato scientifico Fondazione Symbola.</w:t>
      </w:r>
    </w:p>
    <w:p w14:paraId="13ECFC17" w14:textId="77777777" w:rsidR="000C59C5" w:rsidRDefault="000C59C5" w:rsidP="00B35D0C">
      <w:pPr>
        <w:shd w:val="clear" w:color="auto" w:fill="FFFFFF"/>
        <w:spacing w:after="0" w:line="240" w:lineRule="auto"/>
        <w:jc w:val="both"/>
        <w:rPr>
          <w:rFonts w:ascii="Arial" w:hAnsi="Arial" w:cs="Arial"/>
          <w:b/>
          <w:bCs/>
          <w:sz w:val="20"/>
          <w:szCs w:val="20"/>
          <w:lang w:eastAsia="it-IT"/>
        </w:rPr>
      </w:pPr>
    </w:p>
    <w:p w14:paraId="77242D56" w14:textId="77777777" w:rsidR="000C59C5" w:rsidRDefault="000C59C5" w:rsidP="00B35D0C">
      <w:pPr>
        <w:shd w:val="clear" w:color="auto" w:fill="FFFFFF"/>
        <w:spacing w:after="0" w:line="240" w:lineRule="auto"/>
        <w:jc w:val="both"/>
        <w:rPr>
          <w:rFonts w:ascii="Arial" w:hAnsi="Arial" w:cs="Arial"/>
          <w:b/>
          <w:bCs/>
          <w:sz w:val="20"/>
          <w:szCs w:val="20"/>
          <w:lang w:eastAsia="it-IT"/>
        </w:rPr>
      </w:pPr>
    </w:p>
    <w:p w14:paraId="1FA6A9DA" w14:textId="77777777" w:rsidR="000C59C5" w:rsidRDefault="000C59C5" w:rsidP="00B35D0C">
      <w:pPr>
        <w:shd w:val="clear" w:color="auto" w:fill="FFFFFF"/>
        <w:spacing w:after="0" w:line="240" w:lineRule="auto"/>
        <w:jc w:val="both"/>
        <w:rPr>
          <w:rFonts w:ascii="Arial" w:hAnsi="Arial" w:cs="Arial"/>
          <w:b/>
          <w:bCs/>
          <w:sz w:val="20"/>
          <w:szCs w:val="20"/>
          <w:lang w:eastAsia="it-IT"/>
        </w:rPr>
      </w:pPr>
    </w:p>
    <w:p w14:paraId="34B67251" w14:textId="77777777" w:rsidR="000C59C5" w:rsidRDefault="000C59C5" w:rsidP="00B35D0C">
      <w:pPr>
        <w:shd w:val="clear" w:color="auto" w:fill="FFFFFF"/>
        <w:spacing w:after="0" w:line="240" w:lineRule="auto"/>
        <w:jc w:val="both"/>
        <w:rPr>
          <w:rFonts w:ascii="Arial" w:hAnsi="Arial" w:cs="Arial"/>
          <w:b/>
          <w:bCs/>
          <w:sz w:val="20"/>
          <w:szCs w:val="20"/>
          <w:lang w:eastAsia="it-IT"/>
        </w:rPr>
      </w:pPr>
    </w:p>
    <w:p w14:paraId="4C534B2D" w14:textId="77777777" w:rsidR="000C59C5" w:rsidRDefault="000C59C5" w:rsidP="00B35D0C">
      <w:pPr>
        <w:shd w:val="clear" w:color="auto" w:fill="FFFFFF"/>
        <w:spacing w:after="0" w:line="240" w:lineRule="auto"/>
        <w:jc w:val="both"/>
        <w:rPr>
          <w:rFonts w:ascii="Arial" w:hAnsi="Arial" w:cs="Arial"/>
          <w:b/>
          <w:bCs/>
          <w:sz w:val="20"/>
          <w:szCs w:val="20"/>
          <w:lang w:eastAsia="it-IT"/>
        </w:rPr>
      </w:pPr>
    </w:p>
    <w:p w14:paraId="73640507" w14:textId="77777777" w:rsidR="009F23F2" w:rsidRPr="009F23F2" w:rsidRDefault="009F23F2" w:rsidP="009F23F2">
      <w:pPr>
        <w:jc w:val="both"/>
        <w:rPr>
          <w:rFonts w:ascii="Arial" w:hAnsi="Arial" w:cs="Arial"/>
          <w:sz w:val="20"/>
          <w:szCs w:val="20"/>
        </w:rPr>
      </w:pPr>
      <w:r w:rsidRPr="009F23F2">
        <w:rPr>
          <w:rFonts w:ascii="Arial" w:hAnsi="Arial" w:cs="Arial"/>
          <w:sz w:val="20"/>
          <w:szCs w:val="20"/>
        </w:rPr>
        <w:t xml:space="preserve">“I dati del </w:t>
      </w:r>
      <w:proofErr w:type="gramStart"/>
      <w:r w:rsidRPr="009F23F2">
        <w:rPr>
          <w:rFonts w:ascii="Arial" w:hAnsi="Arial" w:cs="Arial"/>
          <w:sz w:val="20"/>
          <w:szCs w:val="20"/>
        </w:rPr>
        <w:t>16°</w:t>
      </w:r>
      <w:proofErr w:type="gramEnd"/>
      <w:r w:rsidRPr="009F23F2">
        <w:rPr>
          <w:rFonts w:ascii="Arial" w:hAnsi="Arial" w:cs="Arial"/>
          <w:sz w:val="20"/>
          <w:szCs w:val="20"/>
        </w:rPr>
        <w:t xml:space="preserve"> Rapporto </w:t>
      </w:r>
      <w:proofErr w:type="spellStart"/>
      <w:r w:rsidRPr="009F23F2">
        <w:rPr>
          <w:rFonts w:ascii="Arial" w:hAnsi="Arial" w:cs="Arial"/>
          <w:sz w:val="20"/>
          <w:szCs w:val="20"/>
        </w:rPr>
        <w:t>GreenItaly</w:t>
      </w:r>
      <w:proofErr w:type="spellEnd"/>
      <w:r w:rsidRPr="009F23F2">
        <w:rPr>
          <w:rFonts w:ascii="Arial" w:hAnsi="Arial" w:cs="Arial"/>
          <w:sz w:val="20"/>
          <w:szCs w:val="20"/>
        </w:rPr>
        <w:t xml:space="preserve"> confermano la concretezza dell’invito del Presidente Mattarella a fare della transizione verde e della decarbonizzazione un importante fattore di competitività.</w:t>
      </w:r>
      <w:r w:rsidRPr="009F23F2">
        <w:rPr>
          <w:rFonts w:ascii="Arial" w:hAnsi="Arial" w:cs="Arial"/>
          <w:b/>
          <w:bCs/>
          <w:sz w:val="20"/>
          <w:szCs w:val="20"/>
        </w:rPr>
        <w:t xml:space="preserve"> </w:t>
      </w:r>
      <w:r w:rsidRPr="009F23F2">
        <w:rPr>
          <w:rFonts w:ascii="Arial" w:hAnsi="Arial" w:cs="Arial"/>
          <w:sz w:val="20"/>
          <w:szCs w:val="20"/>
        </w:rPr>
        <w:t xml:space="preserve">C’è un’Italia che può essere protagonista con l’Europa alla COP30 a </w:t>
      </w:r>
      <w:proofErr w:type="spellStart"/>
      <w:r w:rsidRPr="009F23F2">
        <w:rPr>
          <w:rFonts w:ascii="Arial" w:hAnsi="Arial" w:cs="Arial"/>
          <w:sz w:val="20"/>
          <w:szCs w:val="20"/>
        </w:rPr>
        <w:t>Belèm</w:t>
      </w:r>
      <w:proofErr w:type="spellEnd"/>
      <w:r w:rsidRPr="009F23F2">
        <w:rPr>
          <w:rFonts w:ascii="Arial" w:hAnsi="Arial" w:cs="Arial"/>
          <w:sz w:val="20"/>
          <w:szCs w:val="20"/>
        </w:rPr>
        <w:t>: fa della transizione verde un’opportunità</w:t>
      </w:r>
      <w:r w:rsidRPr="009F23F2">
        <w:rPr>
          <w:rFonts w:ascii="Arial" w:hAnsi="Arial" w:cs="Arial"/>
          <w:b/>
          <w:bCs/>
          <w:sz w:val="20"/>
          <w:szCs w:val="20"/>
        </w:rPr>
        <w:t xml:space="preserve"> </w:t>
      </w:r>
      <w:r w:rsidRPr="009F23F2">
        <w:rPr>
          <w:rFonts w:ascii="Arial" w:hAnsi="Arial" w:cs="Arial"/>
          <w:sz w:val="20"/>
          <w:szCs w:val="20"/>
        </w:rPr>
        <w:t xml:space="preserve">per rafforzare </w:t>
      </w:r>
      <w:r w:rsidRPr="009F23F2">
        <w:rPr>
          <w:rFonts w:ascii="Arial" w:hAnsi="Arial" w:cs="Arial"/>
          <w:b/>
          <w:bCs/>
          <w:sz w:val="20"/>
          <w:szCs w:val="20"/>
        </w:rPr>
        <w:t xml:space="preserve">– </w:t>
      </w:r>
      <w:r w:rsidRPr="009F23F2">
        <w:rPr>
          <w:rFonts w:ascii="Arial" w:hAnsi="Arial" w:cs="Arial"/>
          <w:sz w:val="20"/>
          <w:szCs w:val="20"/>
        </w:rPr>
        <w:t>dichiara</w:t>
      </w:r>
      <w:r w:rsidRPr="009F23F2">
        <w:rPr>
          <w:rFonts w:ascii="Arial" w:hAnsi="Arial" w:cs="Arial"/>
          <w:b/>
          <w:bCs/>
          <w:sz w:val="20"/>
          <w:szCs w:val="20"/>
        </w:rPr>
        <w:t xml:space="preserve"> il presidente della Fondazione Symbola, Ermete Realacci </w:t>
      </w:r>
      <w:r w:rsidRPr="009F23F2">
        <w:rPr>
          <w:rFonts w:ascii="Arial" w:hAnsi="Arial" w:cs="Arial"/>
          <w:sz w:val="20"/>
          <w:szCs w:val="20"/>
        </w:rPr>
        <w:t>–</w:t>
      </w:r>
      <w:r w:rsidRPr="009F23F2">
        <w:rPr>
          <w:rFonts w:ascii="Arial" w:hAnsi="Arial" w:cs="Arial"/>
          <w:b/>
          <w:bCs/>
          <w:sz w:val="20"/>
          <w:szCs w:val="20"/>
        </w:rPr>
        <w:t xml:space="preserve"> </w:t>
      </w:r>
      <w:r w:rsidRPr="009F23F2">
        <w:rPr>
          <w:rFonts w:ascii="Arial" w:hAnsi="Arial" w:cs="Arial"/>
          <w:sz w:val="20"/>
          <w:szCs w:val="20"/>
        </w:rPr>
        <w:t>l’economia e la società</w:t>
      </w:r>
      <w:r w:rsidRPr="009F23F2">
        <w:rPr>
          <w:rFonts w:ascii="Arial" w:hAnsi="Arial" w:cs="Arial"/>
          <w:b/>
          <w:bCs/>
          <w:sz w:val="20"/>
          <w:szCs w:val="20"/>
        </w:rPr>
        <w:t xml:space="preserve">. </w:t>
      </w:r>
      <w:r w:rsidRPr="009F23F2">
        <w:rPr>
          <w:rFonts w:ascii="Arial" w:hAnsi="Arial" w:cs="Arial"/>
          <w:sz w:val="20"/>
          <w:szCs w:val="20"/>
        </w:rPr>
        <w:t xml:space="preserve">Nel Rapporto </w:t>
      </w:r>
      <w:proofErr w:type="spellStart"/>
      <w:r w:rsidRPr="009F23F2">
        <w:rPr>
          <w:rFonts w:ascii="Arial" w:hAnsi="Arial" w:cs="Arial"/>
          <w:sz w:val="20"/>
          <w:szCs w:val="20"/>
        </w:rPr>
        <w:t>GreenItaly</w:t>
      </w:r>
      <w:proofErr w:type="spellEnd"/>
      <w:r w:rsidRPr="009F23F2">
        <w:rPr>
          <w:rFonts w:ascii="Arial" w:hAnsi="Arial" w:cs="Arial"/>
          <w:sz w:val="20"/>
          <w:szCs w:val="20"/>
        </w:rPr>
        <w:t xml:space="preserve"> si coglie un’accelerazione verso un’economia più a misura d’uomo che punta sulla sostenibilità, sull’innovazione, sulle comunità e sui territori. Siamo una superpotenza europea dell’economia circolare e questo ci rende più competitivi e capaci di futuro. Possiamo dare forza a questa nostra economia e a questa idea di Italia grazie alle scelte coraggiose compiute dall’Unione Europea con il Next Generation UE e al PNRR. La burocrazia inutile ostacola il cambiamento necessario, ma possiamo farcela se mobilitiamo le migliori energie del Paese senza lasciare indietro nessuno, senza lasciare solo nessuno, come recita il Manifesto di Assisi, promosso dalla Fondazione Symbola e dal Sacro Convento”.</w:t>
      </w:r>
    </w:p>
    <w:p w14:paraId="5A54F540" w14:textId="77777777" w:rsidR="007D279C" w:rsidRPr="009F23F2" w:rsidRDefault="007D279C" w:rsidP="007D279C">
      <w:pPr>
        <w:shd w:val="clear" w:color="auto" w:fill="FFFFFF"/>
        <w:spacing w:after="0" w:line="240" w:lineRule="auto"/>
        <w:rPr>
          <w:rFonts w:ascii="Arial" w:hAnsi="Arial" w:cs="Arial"/>
          <w:sz w:val="20"/>
          <w:szCs w:val="20"/>
          <w:lang w:eastAsia="it-IT"/>
        </w:rPr>
      </w:pPr>
    </w:p>
    <w:p w14:paraId="6C3AAF68" w14:textId="21122EC7" w:rsidR="002178F3" w:rsidRPr="009F23F2" w:rsidRDefault="009F23F2" w:rsidP="007D279C">
      <w:pPr>
        <w:spacing w:after="0" w:line="240" w:lineRule="auto"/>
        <w:jc w:val="both"/>
        <w:rPr>
          <w:rFonts w:ascii="Arial" w:hAnsi="Arial" w:cs="Arial"/>
          <w:sz w:val="20"/>
          <w:szCs w:val="20"/>
          <w:lang w:eastAsia="it-IT"/>
        </w:rPr>
      </w:pPr>
      <w:r w:rsidRPr="009F23F2">
        <w:rPr>
          <w:rFonts w:ascii="Arial" w:hAnsi="Arial" w:cs="Arial"/>
          <w:sz w:val="20"/>
          <w:szCs w:val="20"/>
        </w:rPr>
        <w:t>“</w:t>
      </w:r>
      <w:r w:rsidR="00497B91" w:rsidRPr="009F23F2">
        <w:rPr>
          <w:rFonts w:ascii="Arial" w:hAnsi="Arial" w:cs="Arial"/>
          <w:sz w:val="20"/>
          <w:szCs w:val="20"/>
        </w:rPr>
        <w:t>La transizione green non è più soltanto una scelta etica o ambientale: è il nuovo spazio dove si misurano competitività, produttività e capacità industriale dei Paesi. Oggi lo vediamo con chiarezza: le imprese che investono con oculatezza e concretezza in tecnologie net-zero, dall’efficienza energetica ai materiali circolari, dai sistemi fotovoltaici di nuova generazione all’idrogeno, non solo riducono le emissioni ma performano meglio</w:t>
      </w:r>
      <w:r w:rsidR="00DA3A0B" w:rsidRPr="009F23F2">
        <w:rPr>
          <w:rFonts w:ascii="Arial" w:hAnsi="Arial" w:cs="Arial"/>
          <w:sz w:val="20"/>
          <w:szCs w:val="20"/>
        </w:rPr>
        <w:t>»</w:t>
      </w:r>
      <w:r w:rsidR="00497B91" w:rsidRPr="009F23F2">
        <w:rPr>
          <w:rFonts w:ascii="Arial" w:hAnsi="Arial" w:cs="Arial"/>
          <w:sz w:val="20"/>
          <w:szCs w:val="20"/>
        </w:rPr>
        <w:t xml:space="preserve">. </w:t>
      </w:r>
      <w:r w:rsidR="00DA3A0B" w:rsidRPr="009F23F2">
        <w:rPr>
          <w:rFonts w:ascii="Arial" w:hAnsi="Arial" w:cs="Arial"/>
          <w:sz w:val="20"/>
          <w:szCs w:val="20"/>
        </w:rPr>
        <w:t xml:space="preserve">Lo ha detto </w:t>
      </w:r>
      <w:r w:rsidR="00DA3A0B" w:rsidRPr="009F23F2">
        <w:rPr>
          <w:rFonts w:ascii="Arial" w:hAnsi="Arial" w:cs="Arial"/>
          <w:b/>
          <w:bCs/>
          <w:sz w:val="20"/>
          <w:szCs w:val="20"/>
        </w:rPr>
        <w:t>il presidente di Unioncamere, Andrea Prete</w:t>
      </w:r>
      <w:r w:rsidR="00DA3A0B" w:rsidRPr="009F23F2">
        <w:rPr>
          <w:rFonts w:ascii="Arial" w:hAnsi="Arial" w:cs="Arial"/>
          <w:sz w:val="20"/>
          <w:szCs w:val="20"/>
        </w:rPr>
        <w:t>, che ha aggiunto “n</w:t>
      </w:r>
      <w:r w:rsidR="00497B91" w:rsidRPr="009F23F2">
        <w:rPr>
          <w:rFonts w:ascii="Arial" w:hAnsi="Arial" w:cs="Arial"/>
          <w:sz w:val="20"/>
          <w:szCs w:val="20"/>
        </w:rPr>
        <w:t xml:space="preserve">ostre analisi recenti mostrano che le aziende europee che detengono brevetti in tecnologie green strategiche registrano in media un livello di produttività più alto del 17%, </w:t>
      </w:r>
      <w:r w:rsidR="00A31037">
        <w:rPr>
          <w:rFonts w:ascii="Arial" w:hAnsi="Arial" w:cs="Arial"/>
          <w:sz w:val="20"/>
          <w:szCs w:val="20"/>
        </w:rPr>
        <w:t xml:space="preserve">Rispetto alle altre imprese che hanno sempre brevetti ma non </w:t>
      </w:r>
      <w:proofErr w:type="spellStart"/>
      <w:proofErr w:type="gramStart"/>
      <w:r w:rsidR="00A31037">
        <w:rPr>
          <w:rFonts w:ascii="Arial" w:hAnsi="Arial" w:cs="Arial"/>
          <w:sz w:val="20"/>
          <w:szCs w:val="20"/>
        </w:rPr>
        <w:t>green.</w:t>
      </w:r>
      <w:r w:rsidR="00497B91" w:rsidRPr="009F23F2">
        <w:rPr>
          <w:rFonts w:ascii="Arial" w:hAnsi="Arial" w:cs="Arial"/>
          <w:sz w:val="20"/>
          <w:szCs w:val="20"/>
        </w:rPr>
        <w:t>Il</w:t>
      </w:r>
      <w:proofErr w:type="spellEnd"/>
      <w:proofErr w:type="gramEnd"/>
      <w:r w:rsidR="00497B91" w:rsidRPr="009F23F2">
        <w:rPr>
          <w:rFonts w:ascii="Arial" w:hAnsi="Arial" w:cs="Arial"/>
          <w:sz w:val="20"/>
          <w:szCs w:val="20"/>
        </w:rPr>
        <w:t xml:space="preserve"> green, quindi, può rappresentare un moltiplicatore di valore. Il vero limite oggi -ha sottolineato il presidente- non è la volontà delle imprese, che in Italia stanno dimostrando di credere nella sostenibilità come leva di crescita, ma la disponibilità di professionisti qualificati. Le imprese incontrano difficoltà di reperimento per oltre la metà dei green jobs ricercati, e questo blocca gli investimenti. Per questo la sfida non è “se” fare la transizione, ma “come” farla diventare un fattore di competitività nazionale</w:t>
      </w:r>
      <w:r w:rsidRPr="009F23F2">
        <w:rPr>
          <w:rFonts w:ascii="Arial" w:hAnsi="Arial" w:cs="Arial"/>
          <w:sz w:val="20"/>
          <w:szCs w:val="20"/>
        </w:rPr>
        <w:t>”.</w:t>
      </w:r>
    </w:p>
    <w:p w14:paraId="3A334FC4" w14:textId="77777777" w:rsidR="007D279C" w:rsidRPr="009F23F2" w:rsidRDefault="007D279C" w:rsidP="007D279C">
      <w:pPr>
        <w:spacing w:after="0" w:line="240" w:lineRule="auto"/>
        <w:jc w:val="both"/>
        <w:rPr>
          <w:rFonts w:ascii="Arial" w:hAnsi="Arial" w:cs="Arial"/>
          <w:b/>
          <w:bCs/>
          <w:sz w:val="20"/>
          <w:szCs w:val="20"/>
          <w:lang w:eastAsia="it-IT"/>
        </w:rPr>
      </w:pPr>
    </w:p>
    <w:p w14:paraId="42255ABE" w14:textId="3D399BD1" w:rsidR="00B64611" w:rsidRPr="009F23F2" w:rsidRDefault="00F004AA" w:rsidP="00B64611">
      <w:pPr>
        <w:jc w:val="both"/>
        <w:rPr>
          <w:rFonts w:ascii="Arial" w:hAnsi="Arial" w:cs="Arial"/>
          <w:sz w:val="20"/>
          <w:szCs w:val="20"/>
        </w:rPr>
      </w:pPr>
      <w:r w:rsidRPr="009F23F2">
        <w:rPr>
          <w:rFonts w:ascii="Arial" w:hAnsi="Arial" w:cs="Arial"/>
          <w:b/>
          <w:bCs/>
          <w:sz w:val="20"/>
          <w:szCs w:val="20"/>
        </w:rPr>
        <w:t xml:space="preserve">Nel </w:t>
      </w:r>
      <w:r w:rsidR="00324F2F" w:rsidRPr="009F23F2">
        <w:rPr>
          <w:rFonts w:ascii="Arial" w:hAnsi="Arial" w:cs="Arial"/>
          <w:b/>
          <w:bCs/>
          <w:sz w:val="20"/>
          <w:szCs w:val="20"/>
        </w:rPr>
        <w:t xml:space="preserve">periodo </w:t>
      </w:r>
      <w:r w:rsidRPr="009F23F2">
        <w:rPr>
          <w:rFonts w:ascii="Arial" w:hAnsi="Arial" w:cs="Arial"/>
          <w:b/>
          <w:bCs/>
          <w:sz w:val="20"/>
          <w:szCs w:val="20"/>
        </w:rPr>
        <w:t>2019-2024</w:t>
      </w:r>
      <w:r w:rsidR="0079486E" w:rsidRPr="009F23F2">
        <w:rPr>
          <w:rFonts w:ascii="Arial" w:hAnsi="Arial" w:cs="Arial"/>
          <w:b/>
          <w:bCs/>
          <w:sz w:val="20"/>
          <w:szCs w:val="20"/>
        </w:rPr>
        <w:t xml:space="preserve">, sono state 578.450 le imprese </w:t>
      </w:r>
      <w:r w:rsidR="00206D3B" w:rsidRPr="009F23F2">
        <w:rPr>
          <w:rFonts w:ascii="Arial" w:hAnsi="Arial" w:cs="Arial"/>
          <w:b/>
          <w:bCs/>
          <w:sz w:val="20"/>
          <w:szCs w:val="20"/>
        </w:rPr>
        <w:t xml:space="preserve">extra-agricole </w:t>
      </w:r>
      <w:r w:rsidR="0079486E" w:rsidRPr="009F23F2">
        <w:rPr>
          <w:rFonts w:ascii="Arial" w:hAnsi="Arial" w:cs="Arial"/>
          <w:b/>
          <w:bCs/>
          <w:sz w:val="20"/>
          <w:szCs w:val="20"/>
        </w:rPr>
        <w:t>che hanno effettuato eco investimenti</w:t>
      </w:r>
      <w:r w:rsidRPr="009F23F2">
        <w:rPr>
          <w:rFonts w:ascii="Arial" w:hAnsi="Arial" w:cs="Arial"/>
          <w:sz w:val="20"/>
          <w:szCs w:val="20"/>
        </w:rPr>
        <w:t xml:space="preserve"> </w:t>
      </w:r>
      <w:r w:rsidR="0079486E" w:rsidRPr="009F23F2">
        <w:rPr>
          <w:rFonts w:ascii="Arial" w:hAnsi="Arial" w:cs="Arial"/>
          <w:b/>
          <w:bCs/>
          <w:sz w:val="20"/>
          <w:szCs w:val="20"/>
        </w:rPr>
        <w:t>pari al 38,7% del totale ovvero più di 1 impresa su 3.</w:t>
      </w:r>
      <w:r w:rsidR="00113CFF" w:rsidRPr="009F23F2">
        <w:rPr>
          <w:rFonts w:ascii="Arial" w:hAnsi="Arial" w:cs="Arial"/>
          <w:b/>
          <w:bCs/>
          <w:sz w:val="20"/>
          <w:szCs w:val="20"/>
        </w:rPr>
        <w:t xml:space="preserve"> Nel 2024 i </w:t>
      </w:r>
      <w:r w:rsidR="001E0E9B" w:rsidRPr="009F23F2">
        <w:rPr>
          <w:rFonts w:ascii="Arial" w:hAnsi="Arial" w:cs="Arial"/>
          <w:b/>
          <w:bCs/>
          <w:i/>
          <w:iCs/>
          <w:sz w:val="20"/>
          <w:szCs w:val="20"/>
        </w:rPr>
        <w:t>green jobs</w:t>
      </w:r>
      <w:r w:rsidR="00B64611" w:rsidRPr="009F23F2">
        <w:rPr>
          <w:rFonts w:ascii="Arial" w:hAnsi="Arial" w:cs="Arial"/>
          <w:b/>
          <w:bCs/>
          <w:sz w:val="20"/>
          <w:szCs w:val="20"/>
        </w:rPr>
        <w:t xml:space="preserve"> </w:t>
      </w:r>
      <w:r w:rsidR="00C9444A" w:rsidRPr="009F23F2">
        <w:rPr>
          <w:rFonts w:ascii="Arial" w:hAnsi="Arial" w:cs="Arial"/>
          <w:b/>
          <w:bCs/>
          <w:sz w:val="20"/>
          <w:szCs w:val="20"/>
        </w:rPr>
        <w:t>sono</w:t>
      </w:r>
      <w:r w:rsidR="001E0E9B" w:rsidRPr="009F23F2">
        <w:rPr>
          <w:rFonts w:ascii="Arial" w:hAnsi="Arial" w:cs="Arial"/>
          <w:b/>
          <w:bCs/>
          <w:sz w:val="20"/>
          <w:szCs w:val="20"/>
        </w:rPr>
        <w:t xml:space="preserve"> 3.298</w:t>
      </w:r>
      <w:r w:rsidR="00B31BD2">
        <w:rPr>
          <w:rFonts w:ascii="Arial" w:hAnsi="Arial" w:cs="Arial"/>
          <w:b/>
          <w:bCs/>
          <w:sz w:val="20"/>
          <w:szCs w:val="20"/>
        </w:rPr>
        <w:t xml:space="preserve"> </w:t>
      </w:r>
      <w:r w:rsidR="00AB0E45" w:rsidRPr="009F23F2">
        <w:rPr>
          <w:rFonts w:ascii="Arial" w:hAnsi="Arial" w:cs="Arial"/>
          <w:b/>
          <w:bCs/>
          <w:sz w:val="20"/>
          <w:szCs w:val="20"/>
        </w:rPr>
        <w:t xml:space="preserve">mila </w:t>
      </w:r>
      <w:r w:rsidR="001E0E9B" w:rsidRPr="009F23F2">
        <w:rPr>
          <w:rFonts w:ascii="Arial" w:hAnsi="Arial" w:cs="Arial"/>
          <w:b/>
          <w:bCs/>
          <w:sz w:val="20"/>
          <w:szCs w:val="20"/>
        </w:rPr>
        <w:t>unità, in crescita del 4,</w:t>
      </w:r>
      <w:r w:rsidR="004A198E" w:rsidRPr="009F23F2">
        <w:rPr>
          <w:rFonts w:ascii="Arial" w:hAnsi="Arial" w:cs="Arial"/>
          <w:b/>
          <w:bCs/>
          <w:sz w:val="20"/>
          <w:szCs w:val="20"/>
        </w:rPr>
        <w:t>3</w:t>
      </w:r>
      <w:r w:rsidR="001E0E9B" w:rsidRPr="009F23F2">
        <w:rPr>
          <w:rFonts w:ascii="Arial" w:hAnsi="Arial" w:cs="Arial"/>
          <w:b/>
          <w:bCs/>
          <w:sz w:val="20"/>
          <w:szCs w:val="20"/>
        </w:rPr>
        <w:t>% (+135</w:t>
      </w:r>
      <w:r w:rsidR="00B31BD2">
        <w:rPr>
          <w:rFonts w:ascii="Arial" w:hAnsi="Arial" w:cs="Arial"/>
          <w:b/>
          <w:bCs/>
          <w:sz w:val="20"/>
          <w:szCs w:val="20"/>
        </w:rPr>
        <w:t xml:space="preserve"> </w:t>
      </w:r>
      <w:r w:rsidR="004A198E" w:rsidRPr="009F23F2">
        <w:rPr>
          <w:rFonts w:ascii="Arial" w:hAnsi="Arial" w:cs="Arial"/>
          <w:b/>
          <w:bCs/>
          <w:sz w:val="20"/>
          <w:szCs w:val="20"/>
        </w:rPr>
        <w:t>mila</w:t>
      </w:r>
      <w:r w:rsidR="001E0E9B" w:rsidRPr="009F23F2">
        <w:rPr>
          <w:rFonts w:ascii="Arial" w:hAnsi="Arial" w:cs="Arial"/>
          <w:b/>
          <w:bCs/>
          <w:sz w:val="20"/>
          <w:szCs w:val="20"/>
        </w:rPr>
        <w:t xml:space="preserve"> unità) rispetto al 2023, con una quota sul totale degli occupati pari al 13,8%.</w:t>
      </w:r>
      <w:r w:rsidR="00513B26">
        <w:rPr>
          <w:rFonts w:ascii="Arial" w:hAnsi="Arial" w:cs="Arial"/>
          <w:sz w:val="20"/>
          <w:szCs w:val="20"/>
        </w:rPr>
        <w:t xml:space="preserve"> I</w:t>
      </w:r>
      <w:r w:rsidR="001E0E9B" w:rsidRPr="009F23F2">
        <w:rPr>
          <w:rFonts w:ascii="Arial" w:hAnsi="Arial" w:cs="Arial"/>
          <w:sz w:val="20"/>
          <w:szCs w:val="20"/>
        </w:rPr>
        <w:t>l risultato complessivo nell’ultimo biennio vede un consolidamento del dato sia assoluto sia relativo registrato nel 2022, con l’auspicio che quest’ultima rilevazione possa rappresentare una solida base da cui far partire nell’immediato futuro un virtuoso processo di crescita. Con riferimento alla distribuzione regionale dei green jobs, lo scenario resta pressoché immutato anche nel 2024, con l’affermazione del Nord-Ovest con il 32,8% del totale nazionale</w:t>
      </w:r>
      <w:r w:rsidR="001044D8" w:rsidRPr="009F23F2">
        <w:rPr>
          <w:rFonts w:ascii="Arial" w:hAnsi="Arial" w:cs="Arial"/>
          <w:sz w:val="20"/>
          <w:szCs w:val="20"/>
        </w:rPr>
        <w:t>,</w:t>
      </w:r>
      <w:r w:rsidR="001E0E9B" w:rsidRPr="009F23F2">
        <w:rPr>
          <w:rFonts w:ascii="Arial" w:hAnsi="Arial" w:cs="Arial"/>
          <w:sz w:val="20"/>
          <w:szCs w:val="20"/>
        </w:rPr>
        <w:t xml:space="preserve"> seguito dal Nord-Est (23,6%), dal Mezzogiorno (23,1%) ed infine dal Centro (20,5%)</w:t>
      </w:r>
      <w:r w:rsidR="00E96506" w:rsidRPr="009F23F2">
        <w:rPr>
          <w:rFonts w:ascii="Arial" w:hAnsi="Arial" w:cs="Arial"/>
          <w:sz w:val="20"/>
          <w:szCs w:val="20"/>
        </w:rPr>
        <w:t>;</w:t>
      </w:r>
      <w:r w:rsidR="001E0E9B" w:rsidRPr="009F23F2">
        <w:rPr>
          <w:rFonts w:ascii="Arial" w:hAnsi="Arial" w:cs="Arial"/>
          <w:sz w:val="20"/>
          <w:szCs w:val="20"/>
        </w:rPr>
        <w:t xml:space="preserve"> unica area</w:t>
      </w:r>
      <w:r w:rsidR="001044D8" w:rsidRPr="009F23F2">
        <w:rPr>
          <w:rFonts w:ascii="Arial" w:hAnsi="Arial" w:cs="Arial"/>
          <w:sz w:val="20"/>
          <w:szCs w:val="20"/>
        </w:rPr>
        <w:t>, quest’ultima,</w:t>
      </w:r>
      <w:r w:rsidR="001E0E9B" w:rsidRPr="009F23F2">
        <w:rPr>
          <w:rFonts w:ascii="Arial" w:hAnsi="Arial" w:cs="Arial"/>
          <w:sz w:val="20"/>
          <w:szCs w:val="20"/>
        </w:rPr>
        <w:t xml:space="preserve"> a </w:t>
      </w:r>
      <w:r w:rsidR="001044D8" w:rsidRPr="009F23F2">
        <w:rPr>
          <w:rFonts w:ascii="Arial" w:hAnsi="Arial" w:cs="Arial"/>
          <w:sz w:val="20"/>
          <w:szCs w:val="20"/>
        </w:rPr>
        <w:t>segnare una</w:t>
      </w:r>
      <w:r w:rsidR="001E0E9B" w:rsidRPr="009F23F2">
        <w:rPr>
          <w:rFonts w:ascii="Arial" w:hAnsi="Arial" w:cs="Arial"/>
          <w:sz w:val="20"/>
          <w:szCs w:val="20"/>
        </w:rPr>
        <w:t xml:space="preserve"> flessione</w:t>
      </w:r>
      <w:r w:rsidR="001044D8" w:rsidRPr="009F23F2">
        <w:rPr>
          <w:rFonts w:ascii="Arial" w:hAnsi="Arial" w:cs="Arial"/>
          <w:sz w:val="20"/>
          <w:szCs w:val="20"/>
        </w:rPr>
        <w:t>, seppur lieve,</w:t>
      </w:r>
      <w:r w:rsidR="001E0E9B" w:rsidRPr="009F23F2">
        <w:rPr>
          <w:rFonts w:ascii="Arial" w:hAnsi="Arial" w:cs="Arial"/>
          <w:sz w:val="20"/>
          <w:szCs w:val="20"/>
        </w:rPr>
        <w:t xml:space="preserve"> di </w:t>
      </w:r>
      <w:r w:rsidR="0091239A" w:rsidRPr="009F23F2">
        <w:rPr>
          <w:rFonts w:ascii="Arial" w:hAnsi="Arial" w:cs="Arial"/>
          <w:sz w:val="20"/>
          <w:szCs w:val="20"/>
        </w:rPr>
        <w:t>lavoratori verdi</w:t>
      </w:r>
      <w:r w:rsidR="001044D8" w:rsidRPr="009F23F2">
        <w:rPr>
          <w:rFonts w:ascii="Arial" w:hAnsi="Arial" w:cs="Arial"/>
          <w:sz w:val="20"/>
          <w:szCs w:val="20"/>
        </w:rPr>
        <w:t xml:space="preserve"> rispetto all’anno precedente</w:t>
      </w:r>
      <w:r w:rsidR="00E96506" w:rsidRPr="009F23F2">
        <w:rPr>
          <w:rFonts w:ascii="Arial" w:hAnsi="Arial" w:cs="Arial"/>
          <w:sz w:val="20"/>
          <w:szCs w:val="20"/>
        </w:rPr>
        <w:t xml:space="preserve"> </w:t>
      </w:r>
      <w:r w:rsidR="00E96506" w:rsidRPr="00690463">
        <w:rPr>
          <w:rFonts w:ascii="Arial" w:hAnsi="Arial" w:cs="Arial"/>
          <w:sz w:val="20"/>
          <w:szCs w:val="20"/>
        </w:rPr>
        <w:t xml:space="preserve">(-0,5%; +6,2% per il Nord-Ovest ed il </w:t>
      </w:r>
      <w:r w:rsidR="00690463" w:rsidRPr="00A31037">
        <w:rPr>
          <w:rFonts w:ascii="Arial" w:hAnsi="Arial" w:cs="Arial"/>
          <w:sz w:val="20"/>
          <w:szCs w:val="20"/>
        </w:rPr>
        <w:t>Sud e Isole</w:t>
      </w:r>
      <w:r w:rsidR="00E96506" w:rsidRPr="00690463">
        <w:rPr>
          <w:rFonts w:ascii="Arial" w:hAnsi="Arial" w:cs="Arial"/>
          <w:sz w:val="20"/>
          <w:szCs w:val="20"/>
        </w:rPr>
        <w:t>; +4,0% per il</w:t>
      </w:r>
      <w:r w:rsidR="00690463" w:rsidRPr="00A31037">
        <w:rPr>
          <w:rFonts w:ascii="Arial" w:hAnsi="Arial" w:cs="Arial"/>
          <w:sz w:val="20"/>
          <w:szCs w:val="20"/>
        </w:rPr>
        <w:t xml:space="preserve"> Nord-Est</w:t>
      </w:r>
      <w:r w:rsidR="00E96506" w:rsidRPr="00690463">
        <w:rPr>
          <w:rFonts w:ascii="Arial" w:hAnsi="Arial" w:cs="Arial"/>
          <w:sz w:val="20"/>
          <w:szCs w:val="20"/>
        </w:rPr>
        <w:t>)</w:t>
      </w:r>
      <w:r w:rsidR="001C12CD" w:rsidRPr="00690463">
        <w:rPr>
          <w:rFonts w:ascii="Arial" w:hAnsi="Arial" w:cs="Arial"/>
          <w:sz w:val="20"/>
          <w:szCs w:val="20"/>
        </w:rPr>
        <w:t>.</w:t>
      </w:r>
    </w:p>
    <w:p w14:paraId="03C1C9EF" w14:textId="22A0D852" w:rsidR="002C1F75" w:rsidRPr="009F23F2" w:rsidRDefault="002C1F75" w:rsidP="002C1F75">
      <w:pPr>
        <w:spacing w:after="120" w:line="264" w:lineRule="auto"/>
        <w:jc w:val="both"/>
        <w:rPr>
          <w:rFonts w:ascii="Arial" w:hAnsi="Arial" w:cs="Arial"/>
          <w:b/>
          <w:bCs/>
          <w:sz w:val="20"/>
          <w:szCs w:val="20"/>
        </w:rPr>
      </w:pPr>
      <w:r w:rsidRPr="009F23F2">
        <w:rPr>
          <w:rFonts w:ascii="Arial" w:hAnsi="Arial" w:cs="Arial"/>
          <w:b/>
          <w:bCs/>
          <w:sz w:val="20"/>
          <w:szCs w:val="20"/>
        </w:rPr>
        <w:t>Nel recupero di materia, l’Italia dà il meglio di sé. Secondo Eurostat, la nostra capacità nell’avvio a riciclo dei rifiuti totali (urbani e speciali) ha raggiunto il 92,6% (2023), un tasso di gran lunga superiore a quello delle altre grandi economie europee, Francia (81,5%), Germania e Spagna (75,5%), e alla media UE-27 (60%).</w:t>
      </w:r>
    </w:p>
    <w:p w14:paraId="1C3AA26A" w14:textId="28378F12" w:rsidR="007D279C" w:rsidRPr="009F23F2" w:rsidRDefault="001C12CD" w:rsidP="009516FA">
      <w:pPr>
        <w:spacing w:after="120" w:line="264" w:lineRule="auto"/>
        <w:jc w:val="both"/>
        <w:rPr>
          <w:rFonts w:ascii="Arial" w:hAnsi="Arial" w:cs="Arial"/>
          <w:sz w:val="20"/>
          <w:szCs w:val="20"/>
        </w:rPr>
      </w:pPr>
      <w:r w:rsidRPr="009F23F2">
        <w:rPr>
          <w:rFonts w:ascii="Arial" w:hAnsi="Arial" w:cs="Arial"/>
          <w:sz w:val="20"/>
          <w:szCs w:val="20"/>
        </w:rPr>
        <w:t>Invece l</w:t>
      </w:r>
      <w:r w:rsidR="00164F34" w:rsidRPr="009F23F2">
        <w:rPr>
          <w:rFonts w:ascii="Arial" w:hAnsi="Arial" w:cs="Arial"/>
          <w:sz w:val="20"/>
          <w:szCs w:val="20"/>
        </w:rPr>
        <w:t xml:space="preserve">a distribuzione per </w:t>
      </w:r>
      <w:proofErr w:type="gramStart"/>
      <w:r w:rsidR="00164F34" w:rsidRPr="009F23F2">
        <w:rPr>
          <w:rFonts w:ascii="Arial" w:hAnsi="Arial" w:cs="Arial"/>
          <w:sz w:val="20"/>
          <w:szCs w:val="20"/>
        </w:rPr>
        <w:t>macro-aree</w:t>
      </w:r>
      <w:proofErr w:type="gramEnd"/>
      <w:r w:rsidR="00164F34" w:rsidRPr="009F23F2">
        <w:rPr>
          <w:rFonts w:ascii="Arial" w:hAnsi="Arial" w:cs="Arial"/>
          <w:sz w:val="20"/>
          <w:szCs w:val="20"/>
        </w:rPr>
        <w:t xml:space="preserve"> geografiche delle imprese eco-investitrici </w:t>
      </w:r>
      <w:r w:rsidR="00324F2F" w:rsidRPr="009F23F2">
        <w:rPr>
          <w:rFonts w:ascii="Arial" w:hAnsi="Arial" w:cs="Arial"/>
          <w:sz w:val="20"/>
          <w:szCs w:val="20"/>
        </w:rPr>
        <w:t xml:space="preserve">dei settori dell’industria e dei servizi </w:t>
      </w:r>
      <w:r w:rsidR="00164F34" w:rsidRPr="009F23F2">
        <w:rPr>
          <w:rFonts w:ascii="Arial" w:hAnsi="Arial" w:cs="Arial"/>
          <w:sz w:val="20"/>
          <w:szCs w:val="20"/>
        </w:rPr>
        <w:t>nel periodo 2019-2024 evidenzia una differenziazione geografica</w:t>
      </w:r>
      <w:r w:rsidR="0091239A" w:rsidRPr="009F23F2">
        <w:rPr>
          <w:rFonts w:ascii="Arial" w:hAnsi="Arial" w:cs="Arial"/>
          <w:sz w:val="20"/>
          <w:szCs w:val="20"/>
        </w:rPr>
        <w:t xml:space="preserve"> lievemente maggiore</w:t>
      </w:r>
      <w:r w:rsidR="00164F34" w:rsidRPr="009F23F2">
        <w:rPr>
          <w:rFonts w:ascii="Arial" w:hAnsi="Arial" w:cs="Arial"/>
          <w:sz w:val="20"/>
          <w:szCs w:val="20"/>
        </w:rPr>
        <w:t>, sia rispetto alla precedente rilevazione (201</w:t>
      </w:r>
      <w:r w:rsidR="00E96506" w:rsidRPr="009F23F2">
        <w:rPr>
          <w:rFonts w:ascii="Arial" w:hAnsi="Arial" w:cs="Arial"/>
          <w:sz w:val="20"/>
          <w:szCs w:val="20"/>
        </w:rPr>
        <w:t>9</w:t>
      </w:r>
      <w:r w:rsidR="00164F34" w:rsidRPr="009F23F2">
        <w:rPr>
          <w:rFonts w:ascii="Arial" w:hAnsi="Arial" w:cs="Arial"/>
          <w:sz w:val="20"/>
          <w:szCs w:val="20"/>
        </w:rPr>
        <w:t>-2023) sia all’intervallo temporale immediatamente precedente (2014-2018).</w:t>
      </w:r>
      <w:r w:rsidR="009516FA" w:rsidRPr="009F23F2">
        <w:rPr>
          <w:rFonts w:ascii="Arial" w:hAnsi="Arial" w:cs="Arial"/>
          <w:sz w:val="20"/>
          <w:szCs w:val="20"/>
        </w:rPr>
        <w:t xml:space="preserve"> </w:t>
      </w:r>
      <w:r w:rsidR="0045587F" w:rsidRPr="009F23F2">
        <w:rPr>
          <w:rFonts w:ascii="Arial" w:hAnsi="Arial" w:cs="Arial"/>
          <w:sz w:val="20"/>
          <w:szCs w:val="20"/>
        </w:rPr>
        <w:t>L</w:t>
      </w:r>
      <w:r w:rsidR="00164F34" w:rsidRPr="009F23F2">
        <w:rPr>
          <w:rFonts w:ascii="Arial" w:hAnsi="Arial" w:cs="Arial"/>
          <w:sz w:val="20"/>
          <w:szCs w:val="20"/>
        </w:rPr>
        <w:t xml:space="preserve">a differenza tra l’incidenza delle imprese che hanno effettuato eco-investimenti sul totale delle imprese </w:t>
      </w:r>
      <w:r w:rsidR="00324F2F" w:rsidRPr="009F23F2">
        <w:rPr>
          <w:rFonts w:ascii="Arial" w:hAnsi="Arial" w:cs="Arial"/>
          <w:sz w:val="20"/>
          <w:szCs w:val="20"/>
        </w:rPr>
        <w:t xml:space="preserve">extra-agricole </w:t>
      </w:r>
      <w:r w:rsidR="00164F34" w:rsidRPr="009F23F2">
        <w:rPr>
          <w:rFonts w:ascii="Arial" w:hAnsi="Arial" w:cs="Arial"/>
          <w:sz w:val="20"/>
          <w:szCs w:val="20"/>
        </w:rPr>
        <w:t xml:space="preserve">nelle </w:t>
      </w:r>
      <w:proofErr w:type="gramStart"/>
      <w:r w:rsidR="00164F34" w:rsidRPr="009F23F2">
        <w:rPr>
          <w:rFonts w:ascii="Arial" w:hAnsi="Arial" w:cs="Arial"/>
          <w:sz w:val="20"/>
          <w:szCs w:val="20"/>
        </w:rPr>
        <w:t>macro-aree</w:t>
      </w:r>
      <w:proofErr w:type="gramEnd"/>
      <w:r w:rsidR="00164F34" w:rsidRPr="009F23F2">
        <w:rPr>
          <w:rFonts w:ascii="Arial" w:hAnsi="Arial" w:cs="Arial"/>
          <w:sz w:val="20"/>
          <w:szCs w:val="20"/>
        </w:rPr>
        <w:t xml:space="preserve"> nel 2019-2024 è contenuta in più o meno 2,7 punti percentuali rispetto alla media (38,7%), con un valore massimo nel Nord-Est (41,4%) e </w:t>
      </w:r>
      <w:r w:rsidR="00C50131" w:rsidRPr="009F23F2">
        <w:rPr>
          <w:rFonts w:ascii="Arial" w:hAnsi="Arial" w:cs="Arial"/>
          <w:sz w:val="20"/>
          <w:szCs w:val="20"/>
        </w:rPr>
        <w:t xml:space="preserve">un </w:t>
      </w:r>
      <w:r w:rsidR="00164F34" w:rsidRPr="009F23F2">
        <w:rPr>
          <w:rFonts w:ascii="Arial" w:hAnsi="Arial" w:cs="Arial"/>
          <w:sz w:val="20"/>
          <w:szCs w:val="20"/>
        </w:rPr>
        <w:t>minimo nel Centro (36,6%). La differenza è ancora di poco rilievo per poter discutere di una concreta dinamica geografica che interessi l’indicatore in questione, ma va comunque evidenziato che la differe</w:t>
      </w:r>
      <w:r w:rsidR="0077658D" w:rsidRPr="009F23F2">
        <w:rPr>
          <w:rFonts w:ascii="Arial" w:hAnsi="Arial" w:cs="Arial"/>
          <w:sz w:val="20"/>
          <w:szCs w:val="20"/>
        </w:rPr>
        <w:t>n</w:t>
      </w:r>
      <w:r w:rsidR="00164F34" w:rsidRPr="009F23F2">
        <w:rPr>
          <w:rFonts w:ascii="Arial" w:hAnsi="Arial" w:cs="Arial"/>
          <w:sz w:val="20"/>
          <w:szCs w:val="20"/>
        </w:rPr>
        <w:t>za tra la performance di ciascuna area analizzata e la media nazionale tende a crescere, giacché era in un intorno d</w:t>
      </w:r>
      <w:r w:rsidR="00C50131" w:rsidRPr="009F23F2">
        <w:rPr>
          <w:rFonts w:ascii="Arial" w:hAnsi="Arial" w:cs="Arial"/>
          <w:sz w:val="20"/>
          <w:szCs w:val="20"/>
        </w:rPr>
        <w:t xml:space="preserve">i </w:t>
      </w:r>
      <w:r w:rsidR="00164F34" w:rsidRPr="009F23F2">
        <w:rPr>
          <w:rFonts w:ascii="Arial" w:hAnsi="Arial" w:cs="Arial"/>
          <w:sz w:val="20"/>
          <w:szCs w:val="20"/>
        </w:rPr>
        <w:t>1,5 punti percentuali sia nella scorsa rilevazione (2019-2023), sia nel periodo immediatamente precedente (2014-2018). La Lombardia conserva saldamente il primato nella graduatoria regionale anche nell’intervallo temporale 2019-2024, con 102.730 imprese eco-investitrici</w:t>
      </w:r>
      <w:r w:rsidR="00324F2F" w:rsidRPr="009F23F2">
        <w:rPr>
          <w:rFonts w:ascii="Arial" w:hAnsi="Arial" w:cs="Arial"/>
          <w:sz w:val="20"/>
          <w:szCs w:val="20"/>
        </w:rPr>
        <w:t xml:space="preserve"> nel settore dell’industria e dei servizi</w:t>
      </w:r>
      <w:r w:rsidR="00164F34" w:rsidRPr="009F23F2">
        <w:rPr>
          <w:rFonts w:ascii="Arial" w:hAnsi="Arial" w:cs="Arial"/>
          <w:sz w:val="20"/>
          <w:szCs w:val="20"/>
        </w:rPr>
        <w:t xml:space="preserve">, pari al 17,8% del totale nazionale e al 39,3% del totale delle imprese della regione. Nelle prime cinque regioni per numero di imprese che hanno effettuato investimenti </w:t>
      </w:r>
      <w:r w:rsidR="00164F34" w:rsidRPr="009F23F2">
        <w:rPr>
          <w:rFonts w:ascii="Arial" w:hAnsi="Arial" w:cs="Arial"/>
          <w:sz w:val="20"/>
          <w:szCs w:val="20"/>
        </w:rPr>
        <w:lastRenderedPageBreak/>
        <w:t xml:space="preserve">green sono concentrate ben il 53,1% delle imprese che nel periodo esaminato hanno </w:t>
      </w:r>
      <w:r w:rsidR="00C50131" w:rsidRPr="009F23F2">
        <w:rPr>
          <w:rFonts w:ascii="Arial" w:hAnsi="Arial" w:cs="Arial"/>
          <w:sz w:val="20"/>
          <w:szCs w:val="20"/>
        </w:rPr>
        <w:t>realizzato eco-</w:t>
      </w:r>
      <w:r w:rsidR="00164F34" w:rsidRPr="009F23F2">
        <w:rPr>
          <w:rFonts w:ascii="Arial" w:hAnsi="Arial" w:cs="Arial"/>
          <w:sz w:val="20"/>
          <w:szCs w:val="20"/>
        </w:rPr>
        <w:t>investimenti (era il 52,2% nel periodo 2019-2023); oltre alla Lombardia, si confermano in questo gruppo il Veneto (54.970 imprese eco-investitrici), il Lazio (50.960 unità), la Campania (50.890 unità) e l’Emilia-Romagna (47.640 unità)</w:t>
      </w:r>
      <w:r w:rsidR="00B475B4" w:rsidRPr="009F23F2">
        <w:rPr>
          <w:rFonts w:ascii="Arial" w:hAnsi="Arial" w:cs="Arial"/>
          <w:sz w:val="20"/>
          <w:szCs w:val="20"/>
        </w:rPr>
        <w:t>.</w:t>
      </w:r>
    </w:p>
    <w:p w14:paraId="2B9DF1CE" w14:textId="77777777" w:rsidR="00513B26" w:rsidRDefault="00513B26" w:rsidP="009F23F2">
      <w:pPr>
        <w:spacing w:after="120" w:line="264" w:lineRule="auto"/>
        <w:jc w:val="both"/>
        <w:rPr>
          <w:rFonts w:ascii="Arial" w:hAnsi="Arial" w:cs="Arial"/>
          <w:b/>
          <w:bCs/>
          <w:sz w:val="20"/>
          <w:szCs w:val="20"/>
        </w:rPr>
      </w:pPr>
    </w:p>
    <w:p w14:paraId="3E214310" w14:textId="666E2C14" w:rsidR="00653EC1" w:rsidRPr="009F23F2" w:rsidRDefault="00653EC1" w:rsidP="009F23F2">
      <w:pPr>
        <w:spacing w:after="120" w:line="264" w:lineRule="auto"/>
        <w:jc w:val="both"/>
        <w:rPr>
          <w:rFonts w:ascii="Arial" w:hAnsi="Arial" w:cs="Arial"/>
          <w:sz w:val="20"/>
          <w:szCs w:val="20"/>
        </w:rPr>
      </w:pPr>
      <w:r w:rsidRPr="009F23F2">
        <w:rPr>
          <w:rFonts w:ascii="Arial" w:hAnsi="Arial" w:cs="Arial"/>
          <w:b/>
          <w:bCs/>
          <w:sz w:val="20"/>
          <w:szCs w:val="20"/>
        </w:rPr>
        <w:t xml:space="preserve">Nella graduatoria provinciale anche nel periodo 2019-2024, continua il testa a testa tra le </w:t>
      </w:r>
      <w:r w:rsidR="00C50131" w:rsidRPr="009F23F2">
        <w:rPr>
          <w:rFonts w:ascii="Arial" w:hAnsi="Arial" w:cs="Arial"/>
          <w:b/>
          <w:bCs/>
          <w:sz w:val="20"/>
          <w:szCs w:val="20"/>
        </w:rPr>
        <w:t xml:space="preserve">città metropolitane </w:t>
      </w:r>
      <w:r w:rsidRPr="009F23F2">
        <w:rPr>
          <w:rFonts w:ascii="Arial" w:hAnsi="Arial" w:cs="Arial"/>
          <w:b/>
          <w:bCs/>
          <w:sz w:val="20"/>
          <w:szCs w:val="20"/>
        </w:rPr>
        <w:t>di Roma e Milano</w:t>
      </w:r>
      <w:r w:rsidRPr="009F23F2">
        <w:rPr>
          <w:rFonts w:ascii="Arial" w:hAnsi="Arial" w:cs="Arial"/>
          <w:sz w:val="20"/>
          <w:szCs w:val="20"/>
        </w:rPr>
        <w:t xml:space="preserve">, rappresentative rispettivamente del mondo dei servizi e dell’industria. In quest’ultima rilevazione, la </w:t>
      </w:r>
      <w:r w:rsidR="00C50131" w:rsidRPr="009F23F2">
        <w:rPr>
          <w:rFonts w:ascii="Arial" w:hAnsi="Arial" w:cs="Arial"/>
          <w:sz w:val="20"/>
          <w:szCs w:val="20"/>
        </w:rPr>
        <w:t xml:space="preserve">città metropolitana </w:t>
      </w:r>
      <w:r w:rsidRPr="009F23F2">
        <w:rPr>
          <w:rFonts w:ascii="Arial" w:hAnsi="Arial" w:cs="Arial"/>
          <w:sz w:val="20"/>
          <w:szCs w:val="20"/>
        </w:rPr>
        <w:t>di Roma si riprende il primato con 39.020 imprese eco-investitrici</w:t>
      </w:r>
      <w:r w:rsidR="00A22634" w:rsidRPr="009F23F2">
        <w:rPr>
          <w:rFonts w:ascii="Arial" w:hAnsi="Arial" w:cs="Arial"/>
          <w:sz w:val="20"/>
          <w:szCs w:val="20"/>
        </w:rPr>
        <w:t xml:space="preserve"> extra-agricole</w:t>
      </w:r>
      <w:r w:rsidRPr="009F23F2">
        <w:rPr>
          <w:rFonts w:ascii="Arial" w:hAnsi="Arial" w:cs="Arial"/>
          <w:sz w:val="20"/>
          <w:szCs w:val="20"/>
        </w:rPr>
        <w:t>, in crescita rispetto alle 36.290 unità della scorsa rilevazione (2019-2023)</w:t>
      </w:r>
      <w:r w:rsidR="0019645E" w:rsidRPr="009F23F2">
        <w:rPr>
          <w:rFonts w:ascii="Arial" w:hAnsi="Arial" w:cs="Arial"/>
          <w:sz w:val="20"/>
          <w:szCs w:val="20"/>
        </w:rPr>
        <w:t>; segue</w:t>
      </w:r>
      <w:r w:rsidRPr="009F23F2">
        <w:rPr>
          <w:rFonts w:ascii="Arial" w:hAnsi="Arial" w:cs="Arial"/>
          <w:sz w:val="20"/>
          <w:szCs w:val="20"/>
        </w:rPr>
        <w:t xml:space="preserve"> </w:t>
      </w:r>
      <w:r w:rsidR="0019645E" w:rsidRPr="009F23F2">
        <w:rPr>
          <w:rFonts w:ascii="Arial" w:hAnsi="Arial" w:cs="Arial"/>
          <w:sz w:val="20"/>
          <w:szCs w:val="20"/>
        </w:rPr>
        <w:t xml:space="preserve">la città metropolitana </w:t>
      </w:r>
      <w:r w:rsidRPr="009F23F2">
        <w:rPr>
          <w:rFonts w:ascii="Arial" w:hAnsi="Arial" w:cs="Arial"/>
          <w:sz w:val="20"/>
          <w:szCs w:val="20"/>
        </w:rPr>
        <w:t xml:space="preserve">di Milano, </w:t>
      </w:r>
      <w:r w:rsidR="0019645E" w:rsidRPr="009F23F2">
        <w:rPr>
          <w:rFonts w:ascii="Arial" w:hAnsi="Arial" w:cs="Arial"/>
          <w:sz w:val="20"/>
          <w:szCs w:val="20"/>
        </w:rPr>
        <w:t xml:space="preserve">con 37.680 </w:t>
      </w:r>
      <w:r w:rsidRPr="009F23F2">
        <w:rPr>
          <w:rFonts w:ascii="Arial" w:hAnsi="Arial" w:cs="Arial"/>
          <w:sz w:val="20"/>
          <w:szCs w:val="20"/>
        </w:rPr>
        <w:t>imprese green. Si confermano nelle prime cinque posizioni della graduatoria provinciale Napoli (25.930 imprese green), Torino (21.380 unità) e Bari (15.030 unità). Analizzando, invece, la sola incidenza di imprese eco-investitrici sul totale delle imprese provinciali, le migliori performance sono registrate a Bolzano (50,1%), Bologna (47,6%) e Siracusa (46,2%).</w:t>
      </w:r>
    </w:p>
    <w:p w14:paraId="5EBF18A2" w14:textId="3D7F6D22" w:rsidR="003C25EA" w:rsidRDefault="003C25EA" w:rsidP="009F23F2">
      <w:pPr>
        <w:spacing w:after="120" w:line="264" w:lineRule="auto"/>
        <w:jc w:val="both"/>
        <w:rPr>
          <w:rFonts w:ascii="Arial" w:hAnsi="Arial" w:cs="Arial"/>
          <w:sz w:val="20"/>
          <w:szCs w:val="20"/>
        </w:rPr>
      </w:pPr>
      <w:r w:rsidRPr="009F23F2">
        <w:rPr>
          <w:rFonts w:ascii="Arial" w:hAnsi="Arial" w:cs="Arial"/>
          <w:sz w:val="20"/>
          <w:szCs w:val="20"/>
        </w:rPr>
        <w:t xml:space="preserve">Nel riciclo degli imballaggi, l'Italia ha raggiunto la quota effettiva del 76,7% (2024). Il dato consolida la nostra leadership europea, già confermata dal raggiungimento con 10 anni di anticipo dell'obiettivo europeo di riciclo complessivo per il 2030 (dati CONAI). Le filiere più virtuose sono quelle della carta (92,4%), del vetro (80,3%) e </w:t>
      </w:r>
      <w:r w:rsidR="0019645E" w:rsidRPr="009F23F2">
        <w:rPr>
          <w:rFonts w:ascii="Arial" w:hAnsi="Arial" w:cs="Arial"/>
          <w:sz w:val="20"/>
          <w:szCs w:val="20"/>
        </w:rPr>
        <w:t>del</w:t>
      </w:r>
      <w:r w:rsidRPr="009F23F2">
        <w:rPr>
          <w:rFonts w:ascii="Arial" w:hAnsi="Arial" w:cs="Arial"/>
          <w:sz w:val="20"/>
          <w:szCs w:val="20"/>
        </w:rPr>
        <w:t>l’acciaio (86,4%). La filiera degli imballaggi in plastica biodegradabile e compostabile, con un tasso di riciclo del 57,8%, è – insieme alla plastica tradizionale (50,8%) – il settore con il più rapido tasso di crescita. Virtuosa a livello europeo anche la filiera degli oli minerali, con un tasso di riciclo pari al 98% (dati CONOU). Per quanto riguarda invece il recupero di PFU (pneumatici fuori uso), le attività di recupero hanno permesso al Paese nel 2024 di evitare l’emissione di oltre 90mila tonnellate di CO</w:t>
      </w:r>
      <w:r w:rsidRPr="009F23F2">
        <w:rPr>
          <w:rFonts w:ascii="Arial" w:hAnsi="Arial" w:cs="Arial"/>
          <w:sz w:val="20"/>
          <w:szCs w:val="20"/>
          <w:vertAlign w:val="subscript"/>
        </w:rPr>
        <w:t>2</w:t>
      </w:r>
      <w:r w:rsidRPr="009F23F2">
        <w:rPr>
          <w:rFonts w:ascii="Arial" w:hAnsi="Arial" w:cs="Arial"/>
          <w:sz w:val="20"/>
          <w:szCs w:val="20"/>
        </w:rPr>
        <w:t xml:space="preserve">eq e risparmiare 957 milioni di MJ di risorse fossili (dati </w:t>
      </w:r>
      <w:proofErr w:type="spellStart"/>
      <w:r w:rsidRPr="009F23F2">
        <w:rPr>
          <w:rFonts w:ascii="Arial" w:hAnsi="Arial" w:cs="Arial"/>
          <w:sz w:val="20"/>
          <w:szCs w:val="20"/>
        </w:rPr>
        <w:t>Ecopneus</w:t>
      </w:r>
      <w:proofErr w:type="spellEnd"/>
      <w:r w:rsidRPr="009F23F2">
        <w:rPr>
          <w:rFonts w:ascii="Arial" w:hAnsi="Arial" w:cs="Arial"/>
          <w:sz w:val="20"/>
          <w:szCs w:val="20"/>
        </w:rPr>
        <w:t>).</w:t>
      </w:r>
    </w:p>
    <w:p w14:paraId="0E869FFE" w14:textId="77777777" w:rsidR="009B4711" w:rsidRDefault="009B4711" w:rsidP="009F23F2">
      <w:pPr>
        <w:spacing w:after="120" w:line="264" w:lineRule="auto"/>
        <w:jc w:val="both"/>
        <w:rPr>
          <w:rFonts w:ascii="Arial" w:hAnsi="Arial" w:cs="Arial"/>
          <w:sz w:val="20"/>
          <w:szCs w:val="20"/>
        </w:rPr>
      </w:pPr>
    </w:p>
    <w:p w14:paraId="714F81D0" w14:textId="77777777" w:rsidR="009B4711" w:rsidRPr="00B214A2" w:rsidRDefault="009B4711" w:rsidP="009B4711">
      <w:pPr>
        <w:shd w:val="clear" w:color="auto" w:fill="FFFFFF"/>
        <w:spacing w:after="0" w:line="240" w:lineRule="auto"/>
        <w:rPr>
          <w:rFonts w:ascii="Arial" w:hAnsi="Arial" w:cs="Arial"/>
          <w:b/>
          <w:bCs/>
          <w:sz w:val="20"/>
          <w:szCs w:val="20"/>
          <w:lang w:eastAsia="it-IT"/>
        </w:rPr>
      </w:pPr>
    </w:p>
    <w:p w14:paraId="12340638" w14:textId="77777777" w:rsidR="009B4711" w:rsidRPr="008D1C33" w:rsidRDefault="009B4711" w:rsidP="009B4711">
      <w:pPr>
        <w:spacing w:line="240" w:lineRule="auto"/>
        <w:rPr>
          <w:rFonts w:ascii="Arial" w:hAnsi="Arial" w:cs="Arial"/>
          <w:b/>
          <w:bCs/>
          <w:sz w:val="20"/>
          <w:szCs w:val="20"/>
          <w:u w:val="single"/>
        </w:rPr>
      </w:pPr>
      <w:r w:rsidRPr="008D1C33">
        <w:rPr>
          <w:rFonts w:ascii="Arial" w:hAnsi="Arial" w:cs="Arial"/>
          <w:b/>
          <w:bCs/>
          <w:sz w:val="20"/>
          <w:szCs w:val="20"/>
          <w:u w:val="single"/>
        </w:rPr>
        <w:t>PIEMONTE</w:t>
      </w:r>
    </w:p>
    <w:p w14:paraId="70DF5D58" w14:textId="77777777" w:rsidR="009B4711" w:rsidRDefault="009B4711" w:rsidP="009B4711">
      <w:pPr>
        <w:spacing w:line="240" w:lineRule="auto"/>
        <w:jc w:val="both"/>
        <w:rPr>
          <w:rFonts w:ascii="Arial" w:hAnsi="Arial" w:cs="Arial"/>
          <w:sz w:val="20"/>
          <w:szCs w:val="20"/>
        </w:rPr>
      </w:pPr>
      <w:r w:rsidRPr="008D1C33">
        <w:rPr>
          <w:rFonts w:ascii="Arial" w:hAnsi="Arial" w:cs="Arial"/>
          <w:sz w:val="20"/>
          <w:szCs w:val="20"/>
        </w:rPr>
        <w:t xml:space="preserve">Con </w:t>
      </w:r>
      <w:r>
        <w:rPr>
          <w:rFonts w:ascii="Arial" w:hAnsi="Arial" w:cs="Arial"/>
          <w:sz w:val="20"/>
          <w:szCs w:val="20"/>
        </w:rPr>
        <w:t>39.598</w:t>
      </w:r>
      <w:r w:rsidRPr="008D1C33">
        <w:rPr>
          <w:rFonts w:ascii="Arial" w:hAnsi="Arial" w:cs="Arial"/>
          <w:sz w:val="20"/>
          <w:szCs w:val="20"/>
        </w:rPr>
        <w:t xml:space="preserve"> imprese green, il Piemonte è </w:t>
      </w:r>
      <w:r>
        <w:rPr>
          <w:rFonts w:ascii="Arial" w:hAnsi="Arial" w:cs="Arial"/>
          <w:sz w:val="20"/>
          <w:szCs w:val="20"/>
        </w:rPr>
        <w:t>all’ottavo</w:t>
      </w:r>
      <w:r w:rsidRPr="008D1C33">
        <w:rPr>
          <w:rFonts w:ascii="Arial" w:hAnsi="Arial" w:cs="Arial"/>
          <w:sz w:val="20"/>
          <w:szCs w:val="20"/>
        </w:rPr>
        <w:t xml:space="preserve"> posto in Italia nella graduatoria regionale per numero assoluto di aziende che hanno investito, o investiranno entro l’anno, in tecnologie green. Passando dal livello regionale a quello provinciale, con le sue </w:t>
      </w:r>
      <w:r>
        <w:rPr>
          <w:rFonts w:ascii="Arial" w:hAnsi="Arial" w:cs="Arial"/>
          <w:sz w:val="20"/>
          <w:szCs w:val="20"/>
        </w:rPr>
        <w:t>21.377</w:t>
      </w:r>
      <w:r w:rsidRPr="008D1C33">
        <w:rPr>
          <w:rFonts w:ascii="Arial" w:hAnsi="Arial" w:cs="Arial"/>
          <w:sz w:val="20"/>
          <w:szCs w:val="20"/>
        </w:rPr>
        <w:t xml:space="preserve"> imprese, </w:t>
      </w:r>
      <w:r w:rsidRPr="00E05043">
        <w:rPr>
          <w:rFonts w:ascii="Arial" w:hAnsi="Arial" w:cs="Arial"/>
          <w:b/>
          <w:bCs/>
          <w:sz w:val="20"/>
          <w:szCs w:val="20"/>
        </w:rPr>
        <w:t>Torino</w:t>
      </w:r>
      <w:r w:rsidRPr="008D1C33">
        <w:rPr>
          <w:rFonts w:ascii="Arial" w:hAnsi="Arial" w:cs="Arial"/>
          <w:sz w:val="20"/>
          <w:szCs w:val="20"/>
        </w:rPr>
        <w:t xml:space="preserve"> è in forte crescita e rappresenta la provincia più virtuosa del Piemonte; </w:t>
      </w:r>
      <w:r w:rsidRPr="00E05043">
        <w:rPr>
          <w:rFonts w:ascii="Arial" w:hAnsi="Arial" w:cs="Arial"/>
          <w:b/>
          <w:bCs/>
          <w:sz w:val="20"/>
          <w:szCs w:val="20"/>
        </w:rPr>
        <w:t>Cuneo</w:t>
      </w:r>
      <w:r w:rsidRPr="008D1C33">
        <w:rPr>
          <w:rFonts w:ascii="Arial" w:hAnsi="Arial" w:cs="Arial"/>
          <w:sz w:val="20"/>
          <w:szCs w:val="20"/>
        </w:rPr>
        <w:t xml:space="preserve"> con </w:t>
      </w:r>
      <w:r>
        <w:rPr>
          <w:rFonts w:ascii="Arial" w:hAnsi="Arial" w:cs="Arial"/>
          <w:sz w:val="20"/>
          <w:szCs w:val="20"/>
        </w:rPr>
        <w:t>5.786</w:t>
      </w:r>
      <w:r w:rsidRPr="008D1C33">
        <w:rPr>
          <w:rFonts w:ascii="Arial" w:hAnsi="Arial" w:cs="Arial"/>
          <w:sz w:val="20"/>
          <w:szCs w:val="20"/>
        </w:rPr>
        <w:t xml:space="preserve">; </w:t>
      </w:r>
      <w:r w:rsidRPr="00E05043">
        <w:rPr>
          <w:rFonts w:ascii="Arial" w:hAnsi="Arial" w:cs="Arial"/>
          <w:b/>
          <w:bCs/>
          <w:sz w:val="20"/>
          <w:szCs w:val="20"/>
        </w:rPr>
        <w:t>Alessandria</w:t>
      </w:r>
      <w:r w:rsidRPr="008D1C33">
        <w:rPr>
          <w:rFonts w:ascii="Arial" w:hAnsi="Arial" w:cs="Arial"/>
          <w:sz w:val="20"/>
          <w:szCs w:val="20"/>
        </w:rPr>
        <w:t xml:space="preserve"> con </w:t>
      </w:r>
      <w:r>
        <w:rPr>
          <w:rFonts w:ascii="Arial" w:hAnsi="Arial" w:cs="Arial"/>
          <w:sz w:val="20"/>
          <w:szCs w:val="20"/>
        </w:rPr>
        <w:t>3.498</w:t>
      </w:r>
      <w:r w:rsidRPr="008D1C33">
        <w:rPr>
          <w:rFonts w:ascii="Arial" w:hAnsi="Arial" w:cs="Arial"/>
          <w:sz w:val="20"/>
          <w:szCs w:val="20"/>
        </w:rPr>
        <w:t xml:space="preserve">; </w:t>
      </w:r>
      <w:r w:rsidRPr="00E05043">
        <w:rPr>
          <w:rFonts w:ascii="Arial" w:hAnsi="Arial" w:cs="Arial"/>
          <w:b/>
          <w:bCs/>
          <w:sz w:val="20"/>
          <w:szCs w:val="20"/>
        </w:rPr>
        <w:t>Novara</w:t>
      </w:r>
      <w:r w:rsidRPr="008D1C33">
        <w:rPr>
          <w:rFonts w:ascii="Arial" w:hAnsi="Arial" w:cs="Arial"/>
          <w:sz w:val="20"/>
          <w:szCs w:val="20"/>
        </w:rPr>
        <w:t xml:space="preserve"> con </w:t>
      </w:r>
      <w:r>
        <w:rPr>
          <w:rFonts w:ascii="Arial" w:hAnsi="Arial" w:cs="Arial"/>
          <w:sz w:val="20"/>
          <w:szCs w:val="20"/>
        </w:rPr>
        <w:t>3.070</w:t>
      </w:r>
      <w:r w:rsidRPr="008D1C33">
        <w:rPr>
          <w:rFonts w:ascii="Arial" w:hAnsi="Arial" w:cs="Arial"/>
          <w:sz w:val="20"/>
          <w:szCs w:val="20"/>
        </w:rPr>
        <w:t xml:space="preserve">; </w:t>
      </w:r>
      <w:r w:rsidRPr="00E05043">
        <w:rPr>
          <w:rFonts w:ascii="Arial" w:hAnsi="Arial" w:cs="Arial"/>
          <w:b/>
          <w:bCs/>
          <w:sz w:val="20"/>
          <w:szCs w:val="20"/>
        </w:rPr>
        <w:t xml:space="preserve">Vercelli </w:t>
      </w:r>
      <w:r w:rsidRPr="008D1C33">
        <w:rPr>
          <w:rFonts w:ascii="Arial" w:hAnsi="Arial" w:cs="Arial"/>
          <w:sz w:val="20"/>
          <w:szCs w:val="20"/>
        </w:rPr>
        <w:t xml:space="preserve">con </w:t>
      </w:r>
      <w:r>
        <w:rPr>
          <w:rFonts w:ascii="Arial" w:hAnsi="Arial" w:cs="Arial"/>
          <w:sz w:val="20"/>
          <w:szCs w:val="20"/>
        </w:rPr>
        <w:t>1.337</w:t>
      </w:r>
      <w:r w:rsidRPr="008D1C33">
        <w:rPr>
          <w:rFonts w:ascii="Arial" w:hAnsi="Arial" w:cs="Arial"/>
          <w:sz w:val="20"/>
          <w:szCs w:val="20"/>
        </w:rPr>
        <w:t xml:space="preserve">; </w:t>
      </w:r>
      <w:r w:rsidRPr="00E05043">
        <w:rPr>
          <w:rFonts w:ascii="Arial" w:hAnsi="Arial" w:cs="Arial"/>
          <w:b/>
          <w:bCs/>
          <w:sz w:val="20"/>
          <w:szCs w:val="20"/>
        </w:rPr>
        <w:t>Asti</w:t>
      </w:r>
      <w:r w:rsidRPr="008D1C33">
        <w:rPr>
          <w:rFonts w:ascii="Arial" w:hAnsi="Arial" w:cs="Arial"/>
          <w:sz w:val="20"/>
          <w:szCs w:val="20"/>
        </w:rPr>
        <w:t xml:space="preserve"> con </w:t>
      </w:r>
      <w:r>
        <w:rPr>
          <w:rFonts w:ascii="Arial" w:hAnsi="Arial" w:cs="Arial"/>
          <w:sz w:val="20"/>
          <w:szCs w:val="20"/>
        </w:rPr>
        <w:t>1.623</w:t>
      </w:r>
      <w:r w:rsidRPr="008D1C33">
        <w:rPr>
          <w:rFonts w:ascii="Arial" w:hAnsi="Arial" w:cs="Arial"/>
          <w:sz w:val="20"/>
          <w:szCs w:val="20"/>
        </w:rPr>
        <w:t xml:space="preserve">; </w:t>
      </w:r>
      <w:r w:rsidRPr="00E05043">
        <w:rPr>
          <w:rFonts w:ascii="Arial" w:hAnsi="Arial" w:cs="Arial"/>
          <w:b/>
          <w:bCs/>
          <w:sz w:val="20"/>
          <w:szCs w:val="20"/>
        </w:rPr>
        <w:t>Verbano-Cusio-Ossola</w:t>
      </w:r>
      <w:r w:rsidRPr="008D1C33">
        <w:rPr>
          <w:rFonts w:ascii="Arial" w:hAnsi="Arial" w:cs="Arial"/>
          <w:sz w:val="20"/>
          <w:szCs w:val="20"/>
        </w:rPr>
        <w:t xml:space="preserve"> </w:t>
      </w:r>
      <w:r>
        <w:rPr>
          <w:rFonts w:ascii="Arial" w:hAnsi="Arial" w:cs="Arial"/>
          <w:sz w:val="20"/>
          <w:szCs w:val="20"/>
        </w:rPr>
        <w:t>1.278</w:t>
      </w:r>
      <w:r w:rsidRPr="008D1C33">
        <w:rPr>
          <w:rFonts w:ascii="Arial" w:hAnsi="Arial" w:cs="Arial"/>
          <w:sz w:val="20"/>
          <w:szCs w:val="20"/>
        </w:rPr>
        <w:t xml:space="preserve">. Ma i primati della regione non si fermano qui: con </w:t>
      </w:r>
      <w:r>
        <w:rPr>
          <w:rFonts w:ascii="Arial" w:hAnsi="Arial" w:cs="Arial"/>
          <w:sz w:val="20"/>
          <w:szCs w:val="20"/>
        </w:rPr>
        <w:t>131.354</w:t>
      </w:r>
      <w:r w:rsidRPr="008D1C33">
        <w:rPr>
          <w:rFonts w:ascii="Arial" w:hAnsi="Arial" w:cs="Arial"/>
          <w:sz w:val="20"/>
          <w:szCs w:val="20"/>
        </w:rPr>
        <w:t xml:space="preserve"> contratti stipulati a green jobs per il 202</w:t>
      </w:r>
      <w:r>
        <w:rPr>
          <w:rFonts w:ascii="Arial" w:hAnsi="Arial" w:cs="Arial"/>
          <w:sz w:val="20"/>
          <w:szCs w:val="20"/>
        </w:rPr>
        <w:t>4</w:t>
      </w:r>
      <w:r w:rsidRPr="008D1C33">
        <w:rPr>
          <w:rFonts w:ascii="Arial" w:hAnsi="Arial" w:cs="Arial"/>
          <w:sz w:val="20"/>
          <w:szCs w:val="20"/>
        </w:rPr>
        <w:t xml:space="preserve"> il Piemonte è </w:t>
      </w:r>
      <w:r>
        <w:rPr>
          <w:rFonts w:ascii="Arial" w:hAnsi="Arial" w:cs="Arial"/>
          <w:sz w:val="20"/>
          <w:szCs w:val="20"/>
        </w:rPr>
        <w:t>ottavo</w:t>
      </w:r>
      <w:r w:rsidRPr="008D1C33">
        <w:rPr>
          <w:rFonts w:ascii="Arial" w:hAnsi="Arial" w:cs="Arial"/>
          <w:sz w:val="20"/>
          <w:szCs w:val="20"/>
        </w:rPr>
        <w:t xml:space="preserve"> nella graduatoria nazionale delle regioni. </w:t>
      </w:r>
      <w:r w:rsidRPr="00E05043">
        <w:rPr>
          <w:rFonts w:ascii="Arial" w:hAnsi="Arial" w:cs="Arial"/>
          <w:b/>
          <w:bCs/>
          <w:sz w:val="20"/>
          <w:szCs w:val="20"/>
        </w:rPr>
        <w:t>Torino</w:t>
      </w:r>
      <w:r w:rsidRPr="008D1C33">
        <w:rPr>
          <w:rFonts w:ascii="Arial" w:hAnsi="Arial" w:cs="Arial"/>
          <w:sz w:val="20"/>
          <w:szCs w:val="20"/>
        </w:rPr>
        <w:t xml:space="preserve">, con </w:t>
      </w:r>
      <w:r>
        <w:rPr>
          <w:rFonts w:ascii="Arial" w:hAnsi="Arial" w:cs="Arial"/>
          <w:sz w:val="20"/>
          <w:szCs w:val="20"/>
        </w:rPr>
        <w:t>72.675</w:t>
      </w:r>
      <w:r w:rsidRPr="008D1C33">
        <w:rPr>
          <w:rFonts w:ascii="Arial" w:hAnsi="Arial" w:cs="Arial"/>
          <w:sz w:val="20"/>
          <w:szCs w:val="20"/>
        </w:rPr>
        <w:t xml:space="preserve"> attivazioni è al quarto posto nella graduatoria nazionale delle province per numero di contratti stipulati a green jobs; </w:t>
      </w:r>
      <w:r w:rsidRPr="00E05043">
        <w:rPr>
          <w:rFonts w:ascii="Arial" w:hAnsi="Arial" w:cs="Arial"/>
          <w:b/>
          <w:bCs/>
          <w:sz w:val="20"/>
          <w:szCs w:val="20"/>
        </w:rPr>
        <w:t>Cuneo</w:t>
      </w:r>
      <w:r w:rsidRPr="008D1C33">
        <w:rPr>
          <w:rFonts w:ascii="Arial" w:hAnsi="Arial" w:cs="Arial"/>
          <w:sz w:val="20"/>
          <w:szCs w:val="20"/>
        </w:rPr>
        <w:t xml:space="preserve"> con </w:t>
      </w:r>
      <w:r>
        <w:rPr>
          <w:rFonts w:ascii="Arial" w:hAnsi="Arial" w:cs="Arial"/>
          <w:sz w:val="20"/>
          <w:szCs w:val="20"/>
        </w:rPr>
        <w:t>18.439</w:t>
      </w:r>
      <w:r w:rsidRPr="008D1C33">
        <w:rPr>
          <w:rFonts w:ascii="Arial" w:hAnsi="Arial" w:cs="Arial"/>
          <w:sz w:val="20"/>
          <w:szCs w:val="20"/>
        </w:rPr>
        <w:t xml:space="preserve">; </w:t>
      </w:r>
      <w:r w:rsidRPr="00E05043">
        <w:rPr>
          <w:rFonts w:ascii="Arial" w:hAnsi="Arial" w:cs="Arial"/>
          <w:b/>
          <w:bCs/>
          <w:sz w:val="20"/>
          <w:szCs w:val="20"/>
        </w:rPr>
        <w:t>Novara</w:t>
      </w:r>
      <w:r w:rsidRPr="008D1C33">
        <w:rPr>
          <w:rFonts w:ascii="Arial" w:hAnsi="Arial" w:cs="Arial"/>
          <w:sz w:val="20"/>
          <w:szCs w:val="20"/>
        </w:rPr>
        <w:t xml:space="preserve"> con </w:t>
      </w:r>
      <w:r>
        <w:rPr>
          <w:rFonts w:ascii="Arial" w:hAnsi="Arial" w:cs="Arial"/>
          <w:sz w:val="20"/>
          <w:szCs w:val="20"/>
        </w:rPr>
        <w:t>12.309</w:t>
      </w:r>
      <w:r w:rsidRPr="008D1C33">
        <w:rPr>
          <w:rFonts w:ascii="Arial" w:hAnsi="Arial" w:cs="Arial"/>
          <w:sz w:val="20"/>
          <w:szCs w:val="20"/>
        </w:rPr>
        <w:t xml:space="preserve">; </w:t>
      </w:r>
      <w:r w:rsidRPr="00E05043">
        <w:rPr>
          <w:rFonts w:ascii="Arial" w:hAnsi="Arial" w:cs="Arial"/>
          <w:b/>
          <w:bCs/>
          <w:sz w:val="20"/>
          <w:szCs w:val="20"/>
        </w:rPr>
        <w:t xml:space="preserve">Alessandria </w:t>
      </w:r>
      <w:r w:rsidRPr="008D1C33">
        <w:rPr>
          <w:rFonts w:ascii="Arial" w:hAnsi="Arial" w:cs="Arial"/>
          <w:sz w:val="20"/>
          <w:szCs w:val="20"/>
        </w:rPr>
        <w:t xml:space="preserve">con </w:t>
      </w:r>
      <w:r>
        <w:rPr>
          <w:rFonts w:ascii="Arial" w:hAnsi="Arial" w:cs="Arial"/>
          <w:sz w:val="20"/>
          <w:szCs w:val="20"/>
        </w:rPr>
        <w:t>11.987</w:t>
      </w:r>
      <w:r w:rsidRPr="008D1C33">
        <w:rPr>
          <w:rFonts w:ascii="Arial" w:hAnsi="Arial" w:cs="Arial"/>
          <w:sz w:val="20"/>
          <w:szCs w:val="20"/>
        </w:rPr>
        <w:t xml:space="preserve">; </w:t>
      </w:r>
      <w:r w:rsidRPr="00E05043">
        <w:rPr>
          <w:rFonts w:ascii="Arial" w:hAnsi="Arial" w:cs="Arial"/>
          <w:b/>
          <w:bCs/>
          <w:sz w:val="20"/>
          <w:szCs w:val="20"/>
        </w:rPr>
        <w:t xml:space="preserve">Asti </w:t>
      </w:r>
      <w:r>
        <w:rPr>
          <w:rFonts w:ascii="Arial" w:hAnsi="Arial" w:cs="Arial"/>
          <w:sz w:val="20"/>
          <w:szCs w:val="20"/>
        </w:rPr>
        <w:t>4.657</w:t>
      </w:r>
      <w:r w:rsidRPr="008D1C33">
        <w:rPr>
          <w:rFonts w:ascii="Arial" w:hAnsi="Arial" w:cs="Arial"/>
          <w:sz w:val="20"/>
          <w:szCs w:val="20"/>
        </w:rPr>
        <w:t xml:space="preserve">; </w:t>
      </w:r>
      <w:r w:rsidRPr="00E05043">
        <w:rPr>
          <w:rFonts w:ascii="Arial" w:hAnsi="Arial" w:cs="Arial"/>
          <w:b/>
          <w:bCs/>
          <w:sz w:val="20"/>
          <w:szCs w:val="20"/>
        </w:rPr>
        <w:t xml:space="preserve">Verbano-Cusio-Ossola </w:t>
      </w:r>
      <w:r>
        <w:rPr>
          <w:rFonts w:ascii="Arial" w:hAnsi="Arial" w:cs="Arial"/>
          <w:sz w:val="20"/>
          <w:szCs w:val="20"/>
        </w:rPr>
        <w:t>3.191</w:t>
      </w:r>
      <w:r w:rsidRPr="008D1C33">
        <w:rPr>
          <w:rFonts w:ascii="Arial" w:hAnsi="Arial" w:cs="Arial"/>
          <w:sz w:val="20"/>
          <w:szCs w:val="20"/>
        </w:rPr>
        <w:t xml:space="preserve">; </w:t>
      </w:r>
      <w:r w:rsidRPr="00E05043">
        <w:rPr>
          <w:rFonts w:ascii="Arial" w:hAnsi="Arial" w:cs="Arial"/>
          <w:b/>
          <w:bCs/>
          <w:sz w:val="20"/>
          <w:szCs w:val="20"/>
        </w:rPr>
        <w:t xml:space="preserve">Biella </w:t>
      </w:r>
      <w:r>
        <w:rPr>
          <w:rFonts w:ascii="Arial" w:hAnsi="Arial" w:cs="Arial"/>
          <w:sz w:val="20"/>
          <w:szCs w:val="20"/>
        </w:rPr>
        <w:t>3.727</w:t>
      </w:r>
      <w:r w:rsidRPr="008D1C33">
        <w:rPr>
          <w:rFonts w:ascii="Arial" w:hAnsi="Arial" w:cs="Arial"/>
          <w:sz w:val="20"/>
          <w:szCs w:val="20"/>
        </w:rPr>
        <w:t>.</w:t>
      </w:r>
    </w:p>
    <w:p w14:paraId="787F7F1A" w14:textId="77777777" w:rsidR="00886AAA" w:rsidRDefault="00886AAA" w:rsidP="009B4711">
      <w:pPr>
        <w:spacing w:line="240" w:lineRule="auto"/>
        <w:jc w:val="both"/>
        <w:rPr>
          <w:rFonts w:ascii="Arial" w:hAnsi="Arial" w:cs="Arial"/>
          <w:sz w:val="20"/>
          <w:szCs w:val="20"/>
        </w:rPr>
      </w:pPr>
    </w:p>
    <w:p w14:paraId="2E151D7E" w14:textId="77777777" w:rsidR="00886AAA" w:rsidRDefault="00886AAA" w:rsidP="00886AAA">
      <w:pPr>
        <w:jc w:val="both"/>
        <w:rPr>
          <w:b/>
          <w:bCs/>
        </w:rPr>
      </w:pPr>
    </w:p>
    <w:p w14:paraId="0EF2002F" w14:textId="77777777" w:rsidR="00886AAA" w:rsidRDefault="00886AAA" w:rsidP="00886AAA">
      <w:pPr>
        <w:jc w:val="both"/>
        <w:rPr>
          <w:b/>
          <w:bCs/>
        </w:rPr>
      </w:pPr>
    </w:p>
    <w:p w14:paraId="440889F7" w14:textId="77777777" w:rsidR="00886AAA" w:rsidRDefault="00886AAA" w:rsidP="00886AAA">
      <w:pPr>
        <w:jc w:val="both"/>
        <w:rPr>
          <w:b/>
          <w:bCs/>
        </w:rPr>
      </w:pPr>
    </w:p>
    <w:p w14:paraId="52E38154" w14:textId="77777777" w:rsidR="00886AAA" w:rsidRDefault="00886AAA" w:rsidP="00886AAA">
      <w:pPr>
        <w:jc w:val="both"/>
        <w:rPr>
          <w:b/>
          <w:bCs/>
        </w:rPr>
      </w:pPr>
    </w:p>
    <w:p w14:paraId="06E90A4D" w14:textId="77777777" w:rsidR="00886AAA" w:rsidRDefault="00886AAA" w:rsidP="00886AAA">
      <w:pPr>
        <w:jc w:val="both"/>
        <w:rPr>
          <w:b/>
          <w:bCs/>
        </w:rPr>
      </w:pPr>
    </w:p>
    <w:p w14:paraId="78C5ADEF" w14:textId="77777777" w:rsidR="00886AAA" w:rsidRDefault="00886AAA" w:rsidP="00886AAA">
      <w:pPr>
        <w:jc w:val="both"/>
        <w:rPr>
          <w:b/>
          <w:bCs/>
        </w:rPr>
      </w:pPr>
    </w:p>
    <w:p w14:paraId="0EC102B2" w14:textId="77777777" w:rsidR="00886AAA" w:rsidRDefault="00886AAA" w:rsidP="00886AAA">
      <w:pPr>
        <w:jc w:val="both"/>
        <w:rPr>
          <w:b/>
          <w:bCs/>
        </w:rPr>
      </w:pPr>
    </w:p>
    <w:p w14:paraId="612C19B1" w14:textId="77777777" w:rsidR="00886AAA" w:rsidRDefault="00886AAA" w:rsidP="00886AAA">
      <w:pPr>
        <w:jc w:val="both"/>
        <w:rPr>
          <w:b/>
          <w:bCs/>
        </w:rPr>
      </w:pPr>
    </w:p>
    <w:p w14:paraId="221AEF04" w14:textId="1D911054" w:rsidR="00886AAA" w:rsidRPr="008F28A5" w:rsidRDefault="00886AAA" w:rsidP="00886AAA">
      <w:pPr>
        <w:jc w:val="both"/>
        <w:rPr>
          <w:sz w:val="16"/>
          <w:szCs w:val="16"/>
        </w:rPr>
      </w:pPr>
      <w:r w:rsidRPr="008F28A5">
        <w:rPr>
          <w:b/>
          <w:bCs/>
        </w:rPr>
        <w:lastRenderedPageBreak/>
        <w:t>Graduatoria regionale secondo la numerosità delle imprese che hanno effettuato eco-investimenti nel periodo 2019–2023 e/o investiranno nel 2024 in prodotti e tecnologie green</w:t>
      </w:r>
      <w:r w:rsidRPr="008F28A5">
        <w:rPr>
          <w:b/>
          <w:bCs/>
        </w:rPr>
        <w:br/>
      </w:r>
      <w:r w:rsidRPr="008F28A5">
        <w:rPr>
          <w:i/>
          <w:iCs/>
        </w:rPr>
        <w:t>Anni 2019-2024, valori assoluti e incidenza percentuale delle imprese green</w:t>
      </w:r>
      <w:r>
        <w:t xml:space="preserve"> </w:t>
      </w:r>
      <w:r w:rsidRPr="008F28A5">
        <w:rPr>
          <w:i/>
          <w:iCs/>
        </w:rPr>
        <w:t>sul totale delle imprese della regione</w:t>
      </w:r>
      <w:r>
        <w:br/>
      </w:r>
      <w:r w:rsidRPr="008F28A5">
        <w:rPr>
          <w:sz w:val="18"/>
          <w:szCs w:val="18"/>
        </w:rPr>
        <w:t>Fonte: Unioncamere</w:t>
      </w:r>
    </w:p>
    <w:p w14:paraId="6E4D2F42" w14:textId="69EB100C" w:rsidR="00886AAA" w:rsidRPr="007405AF" w:rsidRDefault="00886AAA" w:rsidP="009B4711">
      <w:pPr>
        <w:spacing w:line="240" w:lineRule="auto"/>
        <w:jc w:val="both"/>
        <w:rPr>
          <w:rFonts w:ascii="Arial" w:hAnsi="Arial" w:cs="Arial"/>
          <w:sz w:val="20"/>
          <w:szCs w:val="20"/>
        </w:rPr>
      </w:pPr>
      <w:r w:rsidRPr="008F28A5">
        <w:rPr>
          <w:b/>
          <w:bCs/>
          <w:noProof/>
        </w:rPr>
        <w:drawing>
          <wp:inline distT="0" distB="0" distL="0" distR="0" wp14:anchorId="79D3925E" wp14:editId="44A32393">
            <wp:extent cx="5966977" cy="4343776"/>
            <wp:effectExtent l="0" t="0" r="0" b="0"/>
            <wp:docPr id="119104086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040867" name=""/>
                    <pic:cNvPicPr/>
                  </pic:nvPicPr>
                  <pic:blipFill>
                    <a:blip r:embed="rId7"/>
                    <a:stretch>
                      <a:fillRect/>
                    </a:stretch>
                  </pic:blipFill>
                  <pic:spPr>
                    <a:xfrm>
                      <a:off x="0" y="0"/>
                      <a:ext cx="5966977" cy="4343776"/>
                    </a:xfrm>
                    <a:prstGeom prst="rect">
                      <a:avLst/>
                    </a:prstGeom>
                  </pic:spPr>
                </pic:pic>
              </a:graphicData>
            </a:graphic>
          </wp:inline>
        </w:drawing>
      </w:r>
    </w:p>
    <w:p w14:paraId="71ADC4E7" w14:textId="77777777" w:rsidR="009B4711" w:rsidRDefault="009B4711" w:rsidP="009F23F2">
      <w:pPr>
        <w:spacing w:after="120" w:line="264" w:lineRule="auto"/>
        <w:jc w:val="both"/>
        <w:rPr>
          <w:rFonts w:ascii="Arial" w:hAnsi="Arial" w:cs="Arial"/>
          <w:sz w:val="20"/>
          <w:szCs w:val="20"/>
        </w:rPr>
      </w:pPr>
    </w:p>
    <w:p w14:paraId="43591243" w14:textId="77777777" w:rsidR="009F4672" w:rsidRDefault="009F4672" w:rsidP="009F23F2">
      <w:pPr>
        <w:spacing w:after="120" w:line="264" w:lineRule="auto"/>
        <w:jc w:val="both"/>
        <w:rPr>
          <w:rFonts w:ascii="Arial" w:hAnsi="Arial" w:cs="Arial"/>
          <w:sz w:val="20"/>
          <w:szCs w:val="20"/>
        </w:rPr>
      </w:pPr>
    </w:p>
    <w:p w14:paraId="79DC2A1F" w14:textId="77777777" w:rsidR="009F4672" w:rsidRDefault="009F4672" w:rsidP="009F23F2">
      <w:pPr>
        <w:spacing w:after="120" w:line="264" w:lineRule="auto"/>
        <w:jc w:val="both"/>
        <w:rPr>
          <w:rFonts w:ascii="Arial" w:hAnsi="Arial" w:cs="Arial"/>
          <w:sz w:val="20"/>
          <w:szCs w:val="20"/>
        </w:rPr>
      </w:pPr>
    </w:p>
    <w:p w14:paraId="1C933A33" w14:textId="77777777" w:rsidR="00513B26" w:rsidRDefault="00513B26" w:rsidP="001E0E9B">
      <w:pPr>
        <w:jc w:val="both"/>
        <w:rPr>
          <w:b/>
          <w:bCs/>
        </w:rPr>
      </w:pPr>
    </w:p>
    <w:p w14:paraId="606F5D11" w14:textId="77777777" w:rsidR="00513B26" w:rsidRDefault="00513B26" w:rsidP="001E0E9B">
      <w:pPr>
        <w:jc w:val="both"/>
        <w:rPr>
          <w:b/>
          <w:bCs/>
        </w:rPr>
      </w:pPr>
    </w:p>
    <w:p w14:paraId="0A75430B" w14:textId="77777777" w:rsidR="00513B26" w:rsidRDefault="00513B26" w:rsidP="001E0E9B">
      <w:pPr>
        <w:jc w:val="both"/>
        <w:rPr>
          <w:b/>
          <w:bCs/>
        </w:rPr>
      </w:pPr>
    </w:p>
    <w:p w14:paraId="567B5EF9" w14:textId="77777777" w:rsidR="00513B26" w:rsidRDefault="00513B26" w:rsidP="001E0E9B">
      <w:pPr>
        <w:jc w:val="both"/>
        <w:rPr>
          <w:b/>
          <w:bCs/>
        </w:rPr>
      </w:pPr>
    </w:p>
    <w:p w14:paraId="0C827D44" w14:textId="77777777" w:rsidR="00513B26" w:rsidRDefault="00513B26" w:rsidP="001E0E9B">
      <w:pPr>
        <w:jc w:val="both"/>
        <w:rPr>
          <w:b/>
          <w:bCs/>
        </w:rPr>
      </w:pPr>
    </w:p>
    <w:p w14:paraId="45DC99A8" w14:textId="77777777" w:rsidR="00513B26" w:rsidRDefault="00513B26" w:rsidP="001E0E9B">
      <w:pPr>
        <w:jc w:val="both"/>
        <w:rPr>
          <w:b/>
          <w:bCs/>
        </w:rPr>
      </w:pPr>
    </w:p>
    <w:p w14:paraId="5340A9A4" w14:textId="77777777" w:rsidR="00513B26" w:rsidRDefault="00513B26" w:rsidP="001E0E9B">
      <w:pPr>
        <w:jc w:val="both"/>
        <w:rPr>
          <w:b/>
          <w:bCs/>
        </w:rPr>
      </w:pPr>
    </w:p>
    <w:p w14:paraId="520DD3BD" w14:textId="77777777" w:rsidR="00886AAA" w:rsidRDefault="00886AAA" w:rsidP="001E0E9B">
      <w:pPr>
        <w:jc w:val="both"/>
        <w:rPr>
          <w:b/>
          <w:bCs/>
        </w:rPr>
      </w:pPr>
    </w:p>
    <w:p w14:paraId="1DAF5560" w14:textId="73E27776" w:rsidR="001E0E9B" w:rsidRPr="008837D0" w:rsidRDefault="001E0E9B" w:rsidP="001E0E9B">
      <w:pPr>
        <w:jc w:val="both"/>
        <w:rPr>
          <w:b/>
          <w:bCs/>
        </w:rPr>
      </w:pPr>
      <w:r w:rsidRPr="008837D0">
        <w:rPr>
          <w:b/>
          <w:bCs/>
        </w:rPr>
        <w:lastRenderedPageBreak/>
        <w:t xml:space="preserve">Prime venti province italiane per valore assoluto delle imprese </w:t>
      </w:r>
      <w:r w:rsidR="00324F2F">
        <w:rPr>
          <w:b/>
          <w:bCs/>
        </w:rPr>
        <w:t xml:space="preserve">extra-agricole </w:t>
      </w:r>
      <w:r w:rsidRPr="008837D0">
        <w:rPr>
          <w:b/>
          <w:bCs/>
        </w:rPr>
        <w:t>che hanno effettuato eco-investimenti nel periodo 2019–2023 e/o investiranno nel 2024 in prodotti e tecnologie green</w:t>
      </w:r>
    </w:p>
    <w:p w14:paraId="4FC95098" w14:textId="36B5A8B4" w:rsidR="002178F3" w:rsidRDefault="001E0E9B" w:rsidP="001E0E9B">
      <w:pPr>
        <w:jc w:val="both"/>
        <w:rPr>
          <w:i/>
          <w:iCs/>
        </w:rPr>
      </w:pPr>
      <w:r w:rsidRPr="00FC4F08">
        <w:rPr>
          <w:i/>
          <w:iCs/>
        </w:rPr>
        <w:t>Anni 2019-2024, valori assoluti e incidenza percentuale delle imprese green sul totale delle imprese</w:t>
      </w:r>
      <w:r w:rsidR="00324F2F">
        <w:rPr>
          <w:i/>
          <w:iCs/>
        </w:rPr>
        <w:t xml:space="preserve"> extra-agricole</w:t>
      </w:r>
      <w:r w:rsidRPr="00FC4F08">
        <w:rPr>
          <w:i/>
          <w:iCs/>
        </w:rPr>
        <w:t xml:space="preserve"> della provincia</w:t>
      </w:r>
    </w:p>
    <w:p w14:paraId="2699F29C" w14:textId="47A2E8C9" w:rsidR="001E0E9B" w:rsidRPr="002178F3" w:rsidRDefault="001E0E9B" w:rsidP="001E0E9B">
      <w:pPr>
        <w:jc w:val="both"/>
        <w:rPr>
          <w:i/>
          <w:iCs/>
        </w:rPr>
      </w:pPr>
      <w:r w:rsidRPr="002178F3">
        <w:rPr>
          <w:rFonts w:cs="Calibri"/>
          <w:i/>
          <w:iCs/>
          <w:color w:val="000000"/>
          <w:sz w:val="18"/>
          <w:szCs w:val="18"/>
        </w:rPr>
        <w:t xml:space="preserve">Fonte: Unioncamere </w:t>
      </w:r>
    </w:p>
    <w:p w14:paraId="653D8DF3" w14:textId="69B2269B" w:rsidR="00B64611" w:rsidRDefault="001B4016" w:rsidP="00B64611">
      <w:pPr>
        <w:jc w:val="center"/>
      </w:pPr>
      <w:r>
        <w:rPr>
          <w:noProof/>
          <w14:ligatures w14:val="standardContextual"/>
        </w:rPr>
        <w:drawing>
          <wp:inline distT="0" distB="0" distL="0" distR="0" wp14:anchorId="728000B7" wp14:editId="25FE0D44">
            <wp:extent cx="6475173" cy="4638675"/>
            <wp:effectExtent l="0" t="0" r="1905" b="0"/>
            <wp:docPr id="403415034" name="Immagine 3" descr="Immagine che contiene testo, schermata, menu,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415034" name="Immagine 3" descr="Immagine che contiene testo, schermata, menu, Carattere&#10;&#10;Il contenuto generato dall'IA potrebbe non essere corretto."/>
                    <pic:cNvPicPr/>
                  </pic:nvPicPr>
                  <pic:blipFill rotWithShape="1">
                    <a:blip r:embed="rId8">
                      <a:extLst>
                        <a:ext uri="{28A0092B-C50C-407E-A947-70E740481C1C}">
                          <a14:useLocalDpi xmlns:a14="http://schemas.microsoft.com/office/drawing/2010/main" val="0"/>
                        </a:ext>
                      </a:extLst>
                    </a:blip>
                    <a:srcRect l="1556" t="23215"/>
                    <a:stretch>
                      <a:fillRect/>
                    </a:stretch>
                  </pic:blipFill>
                  <pic:spPr bwMode="auto">
                    <a:xfrm>
                      <a:off x="0" y="0"/>
                      <a:ext cx="6477580" cy="4640399"/>
                    </a:xfrm>
                    <a:prstGeom prst="rect">
                      <a:avLst/>
                    </a:prstGeom>
                    <a:ln>
                      <a:noFill/>
                    </a:ln>
                    <a:extLst>
                      <a:ext uri="{53640926-AAD7-44D8-BBD7-CCE9431645EC}">
                        <a14:shadowObscured xmlns:a14="http://schemas.microsoft.com/office/drawing/2010/main"/>
                      </a:ext>
                    </a:extLst>
                  </pic:spPr>
                </pic:pic>
              </a:graphicData>
            </a:graphic>
          </wp:inline>
        </w:drawing>
      </w:r>
      <w:r w:rsidR="001E0E9B" w:rsidRPr="00FC20CF">
        <w:br w:type="page"/>
      </w:r>
    </w:p>
    <w:p w14:paraId="57D4E682" w14:textId="4935AC5F" w:rsidR="00D32A64" w:rsidRPr="00D32A64" w:rsidRDefault="00D32A64" w:rsidP="00D32A64">
      <w:pPr>
        <w:spacing w:after="120"/>
        <w:rPr>
          <w:rFonts w:cs="Calibri"/>
          <w:b/>
          <w:bCs/>
        </w:rPr>
      </w:pPr>
      <w:r w:rsidRPr="00D32A64">
        <w:rPr>
          <w:rFonts w:cs="Calibri"/>
          <w:b/>
          <w:bCs/>
        </w:rPr>
        <w:lastRenderedPageBreak/>
        <w:t>Prime venti province per distribuzione di contratti relativi a green jobs</w:t>
      </w:r>
      <w:r w:rsidR="00B66E98">
        <w:rPr>
          <w:rFonts w:cs="Calibri"/>
          <w:b/>
          <w:bCs/>
        </w:rPr>
        <w:t xml:space="preserve"> sul totale nazionale</w:t>
      </w:r>
    </w:p>
    <w:p w14:paraId="1D9BED7C" w14:textId="77777777" w:rsidR="00D32A64" w:rsidRPr="00D32A64" w:rsidRDefault="00D32A64" w:rsidP="00D32A64">
      <w:pPr>
        <w:spacing w:after="120"/>
        <w:rPr>
          <w:rFonts w:cs="Calibri"/>
          <w:i/>
          <w:iCs/>
        </w:rPr>
      </w:pPr>
      <w:r w:rsidRPr="00D32A64">
        <w:rPr>
          <w:rFonts w:cs="Calibri"/>
          <w:i/>
          <w:iCs/>
        </w:rPr>
        <w:t>Anno 2024, percentuali</w:t>
      </w:r>
    </w:p>
    <w:p w14:paraId="01F279E1" w14:textId="77777777" w:rsidR="00D32A64" w:rsidRPr="00D32A64" w:rsidRDefault="00D32A64" w:rsidP="00D32A64">
      <w:pPr>
        <w:spacing w:after="120"/>
        <w:rPr>
          <w:rFonts w:cs="Calibri"/>
          <w:i/>
          <w:iCs/>
          <w:color w:val="000000"/>
          <w:sz w:val="18"/>
          <w:szCs w:val="18"/>
        </w:rPr>
      </w:pPr>
      <w:r w:rsidRPr="00D32A64">
        <w:rPr>
          <w:rFonts w:cs="Calibri"/>
          <w:i/>
          <w:iCs/>
          <w:color w:val="000000"/>
          <w:sz w:val="18"/>
          <w:szCs w:val="18"/>
        </w:rPr>
        <w:t>Fonte: Unioncamere</w:t>
      </w:r>
    </w:p>
    <w:p w14:paraId="4E3A5952" w14:textId="77777777" w:rsidR="00D32A64" w:rsidRPr="00C041D4" w:rsidRDefault="00D32A64" w:rsidP="00D32A64">
      <w:pPr>
        <w:rPr>
          <w:rFonts w:cs="Calibri"/>
          <w:b/>
          <w:bCs/>
        </w:rPr>
      </w:pPr>
    </w:p>
    <w:p w14:paraId="7086B685" w14:textId="02EC8CFA" w:rsidR="00B64611" w:rsidRDefault="001B4016" w:rsidP="002178F3">
      <w:pPr>
        <w:rPr>
          <w:b/>
          <w:bCs/>
        </w:rPr>
      </w:pPr>
      <w:r>
        <w:rPr>
          <w:b/>
          <w:bCs/>
          <w:noProof/>
          <w14:ligatures w14:val="standardContextual"/>
        </w:rPr>
        <w:drawing>
          <wp:inline distT="0" distB="0" distL="0" distR="0" wp14:anchorId="47E90087" wp14:editId="157178CF">
            <wp:extent cx="3486150" cy="4365768"/>
            <wp:effectExtent l="0" t="0" r="0" b="0"/>
            <wp:docPr id="285816095" name="Immagine 4" descr="Immagine che contiene testo, schermata, menu, Paralle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816095" name="Immagine 4" descr="Immagine che contiene testo, schermata, menu, Parallelo&#10;&#10;Il contenuto generato dall'IA potrebbe non essere corretto."/>
                    <pic:cNvPicPr/>
                  </pic:nvPicPr>
                  <pic:blipFill rotWithShape="1">
                    <a:blip r:embed="rId9">
                      <a:extLst>
                        <a:ext uri="{28A0092B-C50C-407E-A947-70E740481C1C}">
                          <a14:useLocalDpi xmlns:a14="http://schemas.microsoft.com/office/drawing/2010/main" val="0"/>
                        </a:ext>
                      </a:extLst>
                    </a:blip>
                    <a:srcRect t="17459" r="52999"/>
                    <a:stretch>
                      <a:fillRect/>
                    </a:stretch>
                  </pic:blipFill>
                  <pic:spPr bwMode="auto">
                    <a:xfrm>
                      <a:off x="0" y="0"/>
                      <a:ext cx="3488117" cy="4368231"/>
                    </a:xfrm>
                    <a:prstGeom prst="rect">
                      <a:avLst/>
                    </a:prstGeom>
                    <a:ln>
                      <a:noFill/>
                    </a:ln>
                    <a:extLst>
                      <a:ext uri="{53640926-AAD7-44D8-BBD7-CCE9431645EC}">
                        <a14:shadowObscured xmlns:a14="http://schemas.microsoft.com/office/drawing/2010/main"/>
                      </a:ext>
                    </a:extLst>
                  </pic:spPr>
                </pic:pic>
              </a:graphicData>
            </a:graphic>
          </wp:inline>
        </w:drawing>
      </w:r>
    </w:p>
    <w:p w14:paraId="39871B7F" w14:textId="77777777" w:rsidR="00FF6C51" w:rsidRDefault="00FF6C51" w:rsidP="002178F3">
      <w:pPr>
        <w:rPr>
          <w:b/>
          <w:bCs/>
        </w:rPr>
      </w:pPr>
    </w:p>
    <w:p w14:paraId="3D58F936" w14:textId="77777777" w:rsidR="00FF6C51" w:rsidRDefault="00FF6C51" w:rsidP="002178F3">
      <w:pPr>
        <w:rPr>
          <w:b/>
          <w:bCs/>
        </w:rPr>
      </w:pPr>
    </w:p>
    <w:p w14:paraId="79A66C6D" w14:textId="77777777" w:rsidR="00886AAA" w:rsidRDefault="00886AAA" w:rsidP="00886AAA">
      <w:pPr>
        <w:rPr>
          <w:b/>
          <w:bCs/>
        </w:rPr>
      </w:pPr>
    </w:p>
    <w:p w14:paraId="4545724E" w14:textId="77777777" w:rsidR="00886AAA" w:rsidRDefault="00886AAA" w:rsidP="00886AAA">
      <w:pPr>
        <w:rPr>
          <w:b/>
          <w:bCs/>
        </w:rPr>
      </w:pPr>
    </w:p>
    <w:p w14:paraId="4EAB99AA" w14:textId="77777777" w:rsidR="00886AAA" w:rsidRDefault="00886AAA" w:rsidP="00886AAA">
      <w:pPr>
        <w:rPr>
          <w:b/>
          <w:bCs/>
        </w:rPr>
      </w:pPr>
    </w:p>
    <w:p w14:paraId="43C18AE0" w14:textId="77777777" w:rsidR="00886AAA" w:rsidRDefault="00886AAA" w:rsidP="00886AAA">
      <w:pPr>
        <w:rPr>
          <w:b/>
          <w:bCs/>
        </w:rPr>
      </w:pPr>
    </w:p>
    <w:p w14:paraId="6AA588E9" w14:textId="77777777" w:rsidR="00886AAA" w:rsidRDefault="00886AAA" w:rsidP="00886AAA">
      <w:pPr>
        <w:rPr>
          <w:b/>
          <w:bCs/>
        </w:rPr>
      </w:pPr>
    </w:p>
    <w:p w14:paraId="7D1C5544" w14:textId="77777777" w:rsidR="00886AAA" w:rsidRDefault="00886AAA" w:rsidP="00886AAA">
      <w:pPr>
        <w:rPr>
          <w:b/>
          <w:bCs/>
        </w:rPr>
      </w:pPr>
    </w:p>
    <w:p w14:paraId="73B34EEC" w14:textId="77777777" w:rsidR="00886AAA" w:rsidRDefault="00886AAA" w:rsidP="00886AAA">
      <w:pPr>
        <w:rPr>
          <w:b/>
          <w:bCs/>
        </w:rPr>
      </w:pPr>
    </w:p>
    <w:p w14:paraId="143C6C85" w14:textId="77777777" w:rsidR="00886AAA" w:rsidRDefault="00886AAA" w:rsidP="00886AAA">
      <w:pPr>
        <w:rPr>
          <w:b/>
          <w:bCs/>
        </w:rPr>
      </w:pPr>
    </w:p>
    <w:p w14:paraId="7E2F41A2" w14:textId="40E7B5F6" w:rsidR="00886AAA" w:rsidRDefault="00886AAA" w:rsidP="00886AAA">
      <w:pPr>
        <w:rPr>
          <w:b/>
          <w:bCs/>
        </w:rPr>
      </w:pPr>
      <w:r w:rsidRPr="00B778C8">
        <w:rPr>
          <w:b/>
          <w:bCs/>
        </w:rPr>
        <w:lastRenderedPageBreak/>
        <w:t>Imprese manifatturiere che dichiarano un incremento delle performance nel 2025</w:t>
      </w:r>
      <w:r>
        <w:rPr>
          <w:b/>
          <w:bCs/>
        </w:rPr>
        <w:br/>
      </w:r>
      <w:r w:rsidRPr="00B778C8">
        <w:rPr>
          <w:b/>
          <w:bCs/>
          <w:i/>
          <w:iCs/>
        </w:rPr>
        <w:t>Incidenze percentuali sul totale delle imprese manifatturiere</w:t>
      </w:r>
    </w:p>
    <w:p w14:paraId="75F5D4EA" w14:textId="77777777" w:rsidR="00886AAA" w:rsidRPr="00B778C8" w:rsidRDefault="00886AAA" w:rsidP="00886AAA">
      <w:pPr>
        <w:rPr>
          <w:b/>
          <w:bCs/>
          <w:sz w:val="16"/>
          <w:szCs w:val="16"/>
        </w:rPr>
      </w:pPr>
      <w:r w:rsidRPr="00B778C8">
        <w:rPr>
          <w:b/>
          <w:bCs/>
          <w:sz w:val="16"/>
          <w:szCs w:val="16"/>
        </w:rPr>
        <w:t>Fonte: Indagine Centro Studi Tagliacarne – Unioncamere, 2025</w:t>
      </w:r>
    </w:p>
    <w:p w14:paraId="3024BD2F" w14:textId="547CC7F1" w:rsidR="00FF6C51" w:rsidRDefault="00886AAA" w:rsidP="002178F3">
      <w:pPr>
        <w:rPr>
          <w:b/>
          <w:bCs/>
        </w:rPr>
      </w:pPr>
      <w:r w:rsidRPr="00B778C8">
        <w:rPr>
          <w:b/>
          <w:bCs/>
          <w:noProof/>
        </w:rPr>
        <w:drawing>
          <wp:inline distT="0" distB="0" distL="0" distR="0" wp14:anchorId="520F4A8E" wp14:editId="2FAC19E8">
            <wp:extent cx="5883150" cy="4663844"/>
            <wp:effectExtent l="0" t="0" r="3810" b="3810"/>
            <wp:docPr id="59966424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664245" name=""/>
                    <pic:cNvPicPr/>
                  </pic:nvPicPr>
                  <pic:blipFill>
                    <a:blip r:embed="rId10"/>
                    <a:stretch>
                      <a:fillRect/>
                    </a:stretch>
                  </pic:blipFill>
                  <pic:spPr>
                    <a:xfrm>
                      <a:off x="0" y="0"/>
                      <a:ext cx="5883150" cy="4663844"/>
                    </a:xfrm>
                    <a:prstGeom prst="rect">
                      <a:avLst/>
                    </a:prstGeom>
                  </pic:spPr>
                </pic:pic>
              </a:graphicData>
            </a:graphic>
          </wp:inline>
        </w:drawing>
      </w:r>
    </w:p>
    <w:p w14:paraId="53D1451F" w14:textId="77777777" w:rsidR="00FF6C51" w:rsidRDefault="00FF6C51" w:rsidP="002178F3">
      <w:pPr>
        <w:rPr>
          <w:b/>
          <w:bCs/>
        </w:rPr>
      </w:pPr>
    </w:p>
    <w:p w14:paraId="528BF25E" w14:textId="77777777" w:rsidR="00FF6C51" w:rsidRPr="00B64611" w:rsidRDefault="00FF6C51" w:rsidP="002178F3">
      <w:pPr>
        <w:rPr>
          <w:b/>
          <w:bCs/>
        </w:rPr>
      </w:pPr>
    </w:p>
    <w:p w14:paraId="70D90422" w14:textId="77777777" w:rsidR="00B64611" w:rsidRPr="00B64611" w:rsidRDefault="00B64611" w:rsidP="00B64611">
      <w:pPr>
        <w:jc w:val="center"/>
        <w:rPr>
          <w:b/>
          <w:bCs/>
        </w:rPr>
      </w:pPr>
    </w:p>
    <w:p w14:paraId="1AAEDFA3" w14:textId="77777777" w:rsidR="009F4672" w:rsidRDefault="009F4672" w:rsidP="00FD2461">
      <w:pPr>
        <w:jc w:val="both"/>
        <w:rPr>
          <w:rFonts w:ascii="Arial" w:hAnsi="Arial" w:cs="Arial"/>
          <w:b/>
          <w:bCs/>
          <w:i/>
          <w:iCs/>
          <w:sz w:val="20"/>
          <w:szCs w:val="20"/>
        </w:rPr>
      </w:pPr>
    </w:p>
    <w:p w14:paraId="6C92C998" w14:textId="77777777" w:rsidR="009F4672" w:rsidRDefault="009F4672" w:rsidP="00FD2461">
      <w:pPr>
        <w:jc w:val="both"/>
        <w:rPr>
          <w:rFonts w:ascii="Arial" w:hAnsi="Arial" w:cs="Arial"/>
          <w:b/>
          <w:bCs/>
          <w:i/>
          <w:iCs/>
          <w:sz w:val="20"/>
          <w:szCs w:val="20"/>
        </w:rPr>
      </w:pPr>
    </w:p>
    <w:p w14:paraId="224865EB" w14:textId="77777777" w:rsidR="009F4672" w:rsidRDefault="009F4672" w:rsidP="00FD2461">
      <w:pPr>
        <w:jc w:val="both"/>
        <w:rPr>
          <w:rFonts w:ascii="Arial" w:hAnsi="Arial" w:cs="Arial"/>
          <w:b/>
          <w:bCs/>
          <w:i/>
          <w:iCs/>
          <w:sz w:val="20"/>
          <w:szCs w:val="20"/>
        </w:rPr>
      </w:pPr>
    </w:p>
    <w:p w14:paraId="0A9A1224" w14:textId="77777777" w:rsidR="009F4672" w:rsidRDefault="009F4672" w:rsidP="00FD2461">
      <w:pPr>
        <w:jc w:val="both"/>
        <w:rPr>
          <w:rFonts w:ascii="Arial" w:hAnsi="Arial" w:cs="Arial"/>
          <w:b/>
          <w:bCs/>
          <w:i/>
          <w:iCs/>
          <w:sz w:val="20"/>
          <w:szCs w:val="20"/>
        </w:rPr>
      </w:pPr>
    </w:p>
    <w:p w14:paraId="3377C490" w14:textId="513FEA04" w:rsidR="00FD2461" w:rsidRPr="00C568CD" w:rsidRDefault="00FD2461" w:rsidP="00FD2461">
      <w:pPr>
        <w:jc w:val="both"/>
        <w:rPr>
          <w:rFonts w:ascii="Arial" w:hAnsi="Arial" w:cs="Arial"/>
          <w:b/>
          <w:bCs/>
          <w:i/>
          <w:iCs/>
          <w:sz w:val="20"/>
          <w:szCs w:val="20"/>
        </w:rPr>
      </w:pPr>
      <w:r w:rsidRPr="00C568CD">
        <w:rPr>
          <w:rFonts w:ascii="Arial" w:hAnsi="Arial" w:cs="Arial"/>
          <w:b/>
          <w:bCs/>
          <w:i/>
          <w:iCs/>
          <w:sz w:val="20"/>
          <w:szCs w:val="20"/>
        </w:rPr>
        <w:t>Il rapporto completo si trova su www.symbola.ne</w:t>
      </w:r>
      <w:r w:rsidR="009F23F2">
        <w:rPr>
          <w:rFonts w:ascii="Arial" w:hAnsi="Arial" w:cs="Arial"/>
          <w:b/>
          <w:bCs/>
          <w:i/>
          <w:iCs/>
          <w:sz w:val="20"/>
          <w:szCs w:val="20"/>
        </w:rPr>
        <w:t>t</w:t>
      </w:r>
      <w:bookmarkEnd w:id="0"/>
    </w:p>
    <w:sectPr w:rsidR="00FD2461" w:rsidRPr="00C568CD">
      <w:headerReference w:type="even" r:id="rId11"/>
      <w:headerReference w:type="default" r:id="rId12"/>
      <w:footerReference w:type="even" r:id="rId13"/>
      <w:footerReference w:type="default" r:id="rId14"/>
      <w:headerReference w:type="first" r:id="rId15"/>
      <w:footerReference w:type="first" r:id="rId16"/>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B823E2" w14:textId="77777777" w:rsidR="009152BB" w:rsidRDefault="009152BB" w:rsidP="007B12EC">
      <w:pPr>
        <w:spacing w:after="0" w:line="240" w:lineRule="auto"/>
      </w:pPr>
      <w:r>
        <w:separator/>
      </w:r>
    </w:p>
  </w:endnote>
  <w:endnote w:type="continuationSeparator" w:id="0">
    <w:p w14:paraId="5DC1F5A9" w14:textId="77777777" w:rsidR="009152BB" w:rsidRDefault="009152BB" w:rsidP="007B12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693FF" w14:textId="77777777" w:rsidR="00340D76" w:rsidRDefault="00340D7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8361457"/>
      <w:docPartObj>
        <w:docPartGallery w:val="Page Numbers (Bottom of Page)"/>
        <w:docPartUnique/>
      </w:docPartObj>
    </w:sdtPr>
    <w:sdtContent>
      <w:p w14:paraId="5EF2D927" w14:textId="74C36DCB" w:rsidR="00340D76" w:rsidRDefault="00340D76">
        <w:pPr>
          <w:pStyle w:val="Pidipagina"/>
          <w:jc w:val="right"/>
        </w:pPr>
        <w:r>
          <w:fldChar w:fldCharType="begin"/>
        </w:r>
        <w:r>
          <w:instrText>PAGE   \* MERGEFORMAT</w:instrText>
        </w:r>
        <w:r>
          <w:fldChar w:fldCharType="separate"/>
        </w:r>
        <w:r>
          <w:t>2</w:t>
        </w:r>
        <w:r>
          <w:fldChar w:fldCharType="end"/>
        </w:r>
      </w:p>
    </w:sdtContent>
  </w:sdt>
  <w:p w14:paraId="12727685" w14:textId="01C96CE2" w:rsidR="007B12EC" w:rsidRDefault="007B12EC">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EFD94" w14:textId="77777777" w:rsidR="00340D76" w:rsidRDefault="00340D7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BF5833" w14:textId="77777777" w:rsidR="009152BB" w:rsidRDefault="009152BB" w:rsidP="007B12EC">
      <w:pPr>
        <w:spacing w:after="0" w:line="240" w:lineRule="auto"/>
      </w:pPr>
      <w:r>
        <w:separator/>
      </w:r>
    </w:p>
  </w:footnote>
  <w:footnote w:type="continuationSeparator" w:id="0">
    <w:p w14:paraId="66612941" w14:textId="77777777" w:rsidR="009152BB" w:rsidRDefault="009152BB" w:rsidP="007B12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DEB5D" w14:textId="77777777" w:rsidR="00340D76" w:rsidRDefault="00340D76">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B3817" w14:textId="1BA2869E" w:rsidR="007B12EC" w:rsidRDefault="007B12EC">
    <w:pPr>
      <w:pStyle w:val="Intestazione"/>
    </w:pPr>
    <w:r>
      <w:rPr>
        <w:noProof/>
      </w:rPr>
      <w:drawing>
        <wp:anchor distT="0" distB="0" distL="114300" distR="114300" simplePos="0" relativeHeight="251659264" behindDoc="0" locked="0" layoutInCell="1" allowOverlap="1" wp14:anchorId="4D403613" wp14:editId="2A747AB2">
          <wp:simplePos x="0" y="0"/>
          <wp:positionH relativeFrom="margin">
            <wp:posOffset>-295275</wp:posOffset>
          </wp:positionH>
          <wp:positionV relativeFrom="paragraph">
            <wp:posOffset>-309245</wp:posOffset>
          </wp:positionV>
          <wp:extent cx="6711658" cy="994867"/>
          <wp:effectExtent l="0" t="0" r="0" b="0"/>
          <wp:wrapNone/>
          <wp:docPr id="1168984859" name="Immagine 1" descr="Immagine che contiene testo, schermata, cerchio,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984859" name="Immagine 1" descr="Immagine che contiene testo, schermata, cerchio, Carattere&#10;&#10;Il contenuto generato dall'IA potrebbe non essere corretto."/>
                  <pic:cNvPicPr/>
                </pic:nvPicPr>
                <pic:blipFill rotWithShape="1">
                  <a:blip r:embed="rId1">
                    <a:extLst>
                      <a:ext uri="{28A0092B-C50C-407E-A947-70E740481C1C}">
                        <a14:useLocalDpi xmlns:a14="http://schemas.microsoft.com/office/drawing/2010/main" val="0"/>
                      </a:ext>
                    </a:extLst>
                  </a:blip>
                  <a:srcRect t="77349" b="10795"/>
                  <a:stretch>
                    <a:fillRect/>
                  </a:stretch>
                </pic:blipFill>
                <pic:spPr bwMode="auto">
                  <a:xfrm>
                    <a:off x="0" y="0"/>
                    <a:ext cx="6711658" cy="9948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40803B" w14:textId="5C6A2918" w:rsidR="007B12EC" w:rsidRDefault="007B12EC">
    <w:pPr>
      <w:pStyle w:val="Intestazione"/>
    </w:pPr>
  </w:p>
  <w:p w14:paraId="3C4631E3" w14:textId="77777777" w:rsidR="007B12EC" w:rsidRDefault="007B12EC">
    <w:pPr>
      <w:pStyle w:val="Intestazione"/>
    </w:pPr>
  </w:p>
  <w:p w14:paraId="217FA1FD" w14:textId="77777777" w:rsidR="007B12EC" w:rsidRDefault="007B12EC">
    <w:pPr>
      <w:pStyle w:val="Intestazione"/>
    </w:pPr>
  </w:p>
  <w:p w14:paraId="02DD6C45" w14:textId="147D07D7" w:rsidR="007B12EC" w:rsidRDefault="007B12EC">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8043C" w14:textId="77777777" w:rsidR="00340D76" w:rsidRDefault="00340D76">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12EC"/>
    <w:rsid w:val="00001D8A"/>
    <w:rsid w:val="000149A5"/>
    <w:rsid w:val="00045E81"/>
    <w:rsid w:val="00080DE1"/>
    <w:rsid w:val="000C59C5"/>
    <w:rsid w:val="001044D8"/>
    <w:rsid w:val="00113CFF"/>
    <w:rsid w:val="00134DAA"/>
    <w:rsid w:val="00142979"/>
    <w:rsid w:val="00164F34"/>
    <w:rsid w:val="0016522E"/>
    <w:rsid w:val="001665DF"/>
    <w:rsid w:val="001674BE"/>
    <w:rsid w:val="00167FEB"/>
    <w:rsid w:val="00176830"/>
    <w:rsid w:val="00186B9F"/>
    <w:rsid w:val="0019645E"/>
    <w:rsid w:val="001A3CD9"/>
    <w:rsid w:val="001B273D"/>
    <w:rsid w:val="001B4016"/>
    <w:rsid w:val="001C12CD"/>
    <w:rsid w:val="001E0E9B"/>
    <w:rsid w:val="001F3560"/>
    <w:rsid w:val="0020365E"/>
    <w:rsid w:val="00206D3B"/>
    <w:rsid w:val="002178F3"/>
    <w:rsid w:val="00224AE8"/>
    <w:rsid w:val="00285FD1"/>
    <w:rsid w:val="002C1F75"/>
    <w:rsid w:val="002D0F5D"/>
    <w:rsid w:val="002D22D3"/>
    <w:rsid w:val="00324F2F"/>
    <w:rsid w:val="00340D76"/>
    <w:rsid w:val="003542F9"/>
    <w:rsid w:val="003668E7"/>
    <w:rsid w:val="00385136"/>
    <w:rsid w:val="003C25EA"/>
    <w:rsid w:val="003C3C46"/>
    <w:rsid w:val="003D0C0E"/>
    <w:rsid w:val="00402DD2"/>
    <w:rsid w:val="0045587F"/>
    <w:rsid w:val="00460BC7"/>
    <w:rsid w:val="0046257C"/>
    <w:rsid w:val="00462E34"/>
    <w:rsid w:val="004670BD"/>
    <w:rsid w:val="004752E6"/>
    <w:rsid w:val="00493FA5"/>
    <w:rsid w:val="00497B91"/>
    <w:rsid w:val="004A198E"/>
    <w:rsid w:val="004B6018"/>
    <w:rsid w:val="004D7F5E"/>
    <w:rsid w:val="004E0FB1"/>
    <w:rsid w:val="00513B26"/>
    <w:rsid w:val="00570261"/>
    <w:rsid w:val="00570BB1"/>
    <w:rsid w:val="00576B10"/>
    <w:rsid w:val="005D522D"/>
    <w:rsid w:val="005E0159"/>
    <w:rsid w:val="006057E3"/>
    <w:rsid w:val="00640511"/>
    <w:rsid w:val="00653EC1"/>
    <w:rsid w:val="006632FE"/>
    <w:rsid w:val="00685DE7"/>
    <w:rsid w:val="00690463"/>
    <w:rsid w:val="006C1998"/>
    <w:rsid w:val="006D0CE4"/>
    <w:rsid w:val="00736F95"/>
    <w:rsid w:val="00742EDD"/>
    <w:rsid w:val="0077465D"/>
    <w:rsid w:val="0077658D"/>
    <w:rsid w:val="0079486E"/>
    <w:rsid w:val="007B005A"/>
    <w:rsid w:val="007B12EC"/>
    <w:rsid w:val="007D279C"/>
    <w:rsid w:val="00800EC8"/>
    <w:rsid w:val="00801F4F"/>
    <w:rsid w:val="00827092"/>
    <w:rsid w:val="00827AF0"/>
    <w:rsid w:val="008837D0"/>
    <w:rsid w:val="00886AAA"/>
    <w:rsid w:val="008A1A37"/>
    <w:rsid w:val="008F3762"/>
    <w:rsid w:val="0091239A"/>
    <w:rsid w:val="009152BB"/>
    <w:rsid w:val="00922799"/>
    <w:rsid w:val="00946668"/>
    <w:rsid w:val="0094732D"/>
    <w:rsid w:val="009516FA"/>
    <w:rsid w:val="009544BD"/>
    <w:rsid w:val="009660E1"/>
    <w:rsid w:val="00975FFD"/>
    <w:rsid w:val="009849BA"/>
    <w:rsid w:val="00990A16"/>
    <w:rsid w:val="009A33BD"/>
    <w:rsid w:val="009B4711"/>
    <w:rsid w:val="009C7D34"/>
    <w:rsid w:val="009F23F2"/>
    <w:rsid w:val="009F4672"/>
    <w:rsid w:val="00A113B5"/>
    <w:rsid w:val="00A22634"/>
    <w:rsid w:val="00A31037"/>
    <w:rsid w:val="00A81AA8"/>
    <w:rsid w:val="00A853EE"/>
    <w:rsid w:val="00A9405C"/>
    <w:rsid w:val="00A97CA0"/>
    <w:rsid w:val="00AB0E45"/>
    <w:rsid w:val="00AF47C3"/>
    <w:rsid w:val="00B316A8"/>
    <w:rsid w:val="00B31BD2"/>
    <w:rsid w:val="00B35D0C"/>
    <w:rsid w:val="00B36049"/>
    <w:rsid w:val="00B475B4"/>
    <w:rsid w:val="00B64542"/>
    <w:rsid w:val="00B64611"/>
    <w:rsid w:val="00B66E98"/>
    <w:rsid w:val="00B702AF"/>
    <w:rsid w:val="00BF2F49"/>
    <w:rsid w:val="00C50131"/>
    <w:rsid w:val="00C54A16"/>
    <w:rsid w:val="00C571EA"/>
    <w:rsid w:val="00C76DBC"/>
    <w:rsid w:val="00C9444A"/>
    <w:rsid w:val="00CC7EA4"/>
    <w:rsid w:val="00D10106"/>
    <w:rsid w:val="00D13B1A"/>
    <w:rsid w:val="00D146E2"/>
    <w:rsid w:val="00D32A64"/>
    <w:rsid w:val="00D7278C"/>
    <w:rsid w:val="00D77782"/>
    <w:rsid w:val="00D9635F"/>
    <w:rsid w:val="00DA3A0B"/>
    <w:rsid w:val="00DB244F"/>
    <w:rsid w:val="00DC76AE"/>
    <w:rsid w:val="00DF4B1B"/>
    <w:rsid w:val="00E01254"/>
    <w:rsid w:val="00E30D9E"/>
    <w:rsid w:val="00E7194B"/>
    <w:rsid w:val="00E72A60"/>
    <w:rsid w:val="00E96506"/>
    <w:rsid w:val="00EE4D42"/>
    <w:rsid w:val="00EE4EB9"/>
    <w:rsid w:val="00EF27FE"/>
    <w:rsid w:val="00F004AA"/>
    <w:rsid w:val="00F20324"/>
    <w:rsid w:val="00F2104B"/>
    <w:rsid w:val="00F26E63"/>
    <w:rsid w:val="00F70E1E"/>
    <w:rsid w:val="00F8303D"/>
    <w:rsid w:val="00FD2461"/>
    <w:rsid w:val="00FD67E1"/>
    <w:rsid w:val="00FF6C5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EB3559"/>
  <w15:chartTrackingRefBased/>
  <w15:docId w15:val="{B5467010-C225-4B0B-9D32-E977448FB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D279C"/>
    <w:rPr>
      <w:rFonts w:ascii="Calibri" w:eastAsia="Calibri" w:hAnsi="Calibri" w:cs="Times New Roman"/>
      <w:kern w:val="0"/>
      <w14:ligatures w14:val="none"/>
    </w:rPr>
  </w:style>
  <w:style w:type="paragraph" w:styleId="Titolo1">
    <w:name w:val="heading 1"/>
    <w:basedOn w:val="Normale"/>
    <w:next w:val="Normale"/>
    <w:link w:val="Titolo1Carattere"/>
    <w:uiPriority w:val="9"/>
    <w:qFormat/>
    <w:rsid w:val="007B12EC"/>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Titolo2">
    <w:name w:val="heading 2"/>
    <w:basedOn w:val="Normale"/>
    <w:next w:val="Normale"/>
    <w:link w:val="Titolo2Carattere"/>
    <w:uiPriority w:val="9"/>
    <w:semiHidden/>
    <w:unhideWhenUsed/>
    <w:qFormat/>
    <w:rsid w:val="007B12EC"/>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Titolo3">
    <w:name w:val="heading 3"/>
    <w:basedOn w:val="Normale"/>
    <w:next w:val="Normale"/>
    <w:link w:val="Titolo3Carattere"/>
    <w:uiPriority w:val="9"/>
    <w:semiHidden/>
    <w:unhideWhenUsed/>
    <w:qFormat/>
    <w:rsid w:val="007B12EC"/>
    <w:pPr>
      <w:keepNext/>
      <w:keepLines/>
      <w:spacing w:before="160" w:after="80"/>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Titolo4">
    <w:name w:val="heading 4"/>
    <w:basedOn w:val="Normale"/>
    <w:next w:val="Normale"/>
    <w:link w:val="Titolo4Carattere"/>
    <w:uiPriority w:val="9"/>
    <w:semiHidden/>
    <w:unhideWhenUsed/>
    <w:qFormat/>
    <w:rsid w:val="007B12EC"/>
    <w:pPr>
      <w:keepNext/>
      <w:keepLines/>
      <w:spacing w:before="80" w:after="40"/>
      <w:outlineLvl w:val="3"/>
    </w:pPr>
    <w:rPr>
      <w:rFonts w:asciiTheme="minorHAnsi" w:eastAsiaTheme="majorEastAsia" w:hAnsiTheme="minorHAnsi" w:cstheme="majorBidi"/>
      <w:i/>
      <w:iCs/>
      <w:color w:val="0F4761" w:themeColor="accent1" w:themeShade="BF"/>
      <w:kern w:val="2"/>
      <w14:ligatures w14:val="standardContextual"/>
    </w:rPr>
  </w:style>
  <w:style w:type="paragraph" w:styleId="Titolo5">
    <w:name w:val="heading 5"/>
    <w:basedOn w:val="Normale"/>
    <w:next w:val="Normale"/>
    <w:link w:val="Titolo5Carattere"/>
    <w:uiPriority w:val="9"/>
    <w:semiHidden/>
    <w:unhideWhenUsed/>
    <w:qFormat/>
    <w:rsid w:val="007B12EC"/>
    <w:pPr>
      <w:keepNext/>
      <w:keepLines/>
      <w:spacing w:before="80" w:after="40"/>
      <w:outlineLvl w:val="4"/>
    </w:pPr>
    <w:rPr>
      <w:rFonts w:asciiTheme="minorHAnsi" w:eastAsiaTheme="majorEastAsia" w:hAnsiTheme="minorHAnsi" w:cstheme="majorBidi"/>
      <w:color w:val="0F4761" w:themeColor="accent1" w:themeShade="BF"/>
      <w:kern w:val="2"/>
      <w14:ligatures w14:val="standardContextual"/>
    </w:rPr>
  </w:style>
  <w:style w:type="paragraph" w:styleId="Titolo6">
    <w:name w:val="heading 6"/>
    <w:basedOn w:val="Normale"/>
    <w:next w:val="Normale"/>
    <w:link w:val="Titolo6Carattere"/>
    <w:uiPriority w:val="9"/>
    <w:semiHidden/>
    <w:unhideWhenUsed/>
    <w:qFormat/>
    <w:rsid w:val="007B12EC"/>
    <w:pPr>
      <w:keepNext/>
      <w:keepLines/>
      <w:spacing w:before="40" w:after="0"/>
      <w:outlineLvl w:val="5"/>
    </w:pPr>
    <w:rPr>
      <w:rFonts w:asciiTheme="minorHAnsi" w:eastAsiaTheme="majorEastAsia" w:hAnsiTheme="minorHAnsi" w:cstheme="majorBidi"/>
      <w:i/>
      <w:iCs/>
      <w:color w:val="595959" w:themeColor="text1" w:themeTint="A6"/>
      <w:kern w:val="2"/>
      <w14:ligatures w14:val="standardContextual"/>
    </w:rPr>
  </w:style>
  <w:style w:type="paragraph" w:styleId="Titolo7">
    <w:name w:val="heading 7"/>
    <w:basedOn w:val="Normale"/>
    <w:next w:val="Normale"/>
    <w:link w:val="Titolo7Carattere"/>
    <w:uiPriority w:val="9"/>
    <w:semiHidden/>
    <w:unhideWhenUsed/>
    <w:qFormat/>
    <w:rsid w:val="007B12EC"/>
    <w:pPr>
      <w:keepNext/>
      <w:keepLines/>
      <w:spacing w:before="40" w:after="0"/>
      <w:outlineLvl w:val="6"/>
    </w:pPr>
    <w:rPr>
      <w:rFonts w:asciiTheme="minorHAnsi" w:eastAsiaTheme="majorEastAsia" w:hAnsiTheme="minorHAnsi" w:cstheme="majorBidi"/>
      <w:color w:val="595959" w:themeColor="text1" w:themeTint="A6"/>
      <w:kern w:val="2"/>
      <w14:ligatures w14:val="standardContextual"/>
    </w:rPr>
  </w:style>
  <w:style w:type="paragraph" w:styleId="Titolo8">
    <w:name w:val="heading 8"/>
    <w:basedOn w:val="Normale"/>
    <w:next w:val="Normale"/>
    <w:link w:val="Titolo8Carattere"/>
    <w:uiPriority w:val="9"/>
    <w:semiHidden/>
    <w:unhideWhenUsed/>
    <w:qFormat/>
    <w:rsid w:val="007B12EC"/>
    <w:pPr>
      <w:keepNext/>
      <w:keepLines/>
      <w:spacing w:after="0"/>
      <w:outlineLvl w:val="7"/>
    </w:pPr>
    <w:rPr>
      <w:rFonts w:asciiTheme="minorHAnsi" w:eastAsiaTheme="majorEastAsia" w:hAnsiTheme="minorHAnsi" w:cstheme="majorBidi"/>
      <w:i/>
      <w:iCs/>
      <w:color w:val="272727" w:themeColor="text1" w:themeTint="D8"/>
      <w:kern w:val="2"/>
      <w14:ligatures w14:val="standardContextual"/>
    </w:rPr>
  </w:style>
  <w:style w:type="paragraph" w:styleId="Titolo9">
    <w:name w:val="heading 9"/>
    <w:basedOn w:val="Normale"/>
    <w:next w:val="Normale"/>
    <w:link w:val="Titolo9Carattere"/>
    <w:uiPriority w:val="9"/>
    <w:semiHidden/>
    <w:unhideWhenUsed/>
    <w:qFormat/>
    <w:rsid w:val="007B12EC"/>
    <w:pPr>
      <w:keepNext/>
      <w:keepLines/>
      <w:spacing w:after="0"/>
      <w:outlineLvl w:val="8"/>
    </w:pPr>
    <w:rPr>
      <w:rFonts w:asciiTheme="minorHAnsi" w:eastAsiaTheme="majorEastAsia" w:hAnsiTheme="minorHAnsi" w:cstheme="majorBidi"/>
      <w:color w:val="272727" w:themeColor="text1" w:themeTint="D8"/>
      <w:kern w:val="2"/>
      <w14:ligatures w14:val="standardContextual"/>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B12EC"/>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7B12EC"/>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7B12EC"/>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7B12EC"/>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7B12EC"/>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7B12EC"/>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7B12EC"/>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7B12EC"/>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7B12EC"/>
    <w:rPr>
      <w:rFonts w:eastAsiaTheme="majorEastAsia" w:cstheme="majorBidi"/>
      <w:color w:val="272727" w:themeColor="text1" w:themeTint="D8"/>
    </w:rPr>
  </w:style>
  <w:style w:type="paragraph" w:styleId="Titolo">
    <w:name w:val="Title"/>
    <w:basedOn w:val="Normale"/>
    <w:next w:val="Normale"/>
    <w:link w:val="TitoloCarattere"/>
    <w:uiPriority w:val="10"/>
    <w:qFormat/>
    <w:rsid w:val="007B12EC"/>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oloCarattere">
    <w:name w:val="Titolo Carattere"/>
    <w:basedOn w:val="Carpredefinitoparagrafo"/>
    <w:link w:val="Titolo"/>
    <w:uiPriority w:val="10"/>
    <w:rsid w:val="007B12EC"/>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7B12EC"/>
    <w:pPr>
      <w:numPr>
        <w:ilvl w:val="1"/>
      </w:numPr>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ottotitoloCarattere">
    <w:name w:val="Sottotitolo Carattere"/>
    <w:basedOn w:val="Carpredefinitoparagrafo"/>
    <w:link w:val="Sottotitolo"/>
    <w:uiPriority w:val="11"/>
    <w:rsid w:val="007B12EC"/>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7B12EC"/>
    <w:pPr>
      <w:spacing w:before="160"/>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CitazioneCarattere">
    <w:name w:val="Citazione Carattere"/>
    <w:basedOn w:val="Carpredefinitoparagrafo"/>
    <w:link w:val="Citazione"/>
    <w:uiPriority w:val="29"/>
    <w:rsid w:val="007B12EC"/>
    <w:rPr>
      <w:i/>
      <w:iCs/>
      <w:color w:val="404040" w:themeColor="text1" w:themeTint="BF"/>
    </w:rPr>
  </w:style>
  <w:style w:type="paragraph" w:styleId="Paragrafoelenco">
    <w:name w:val="List Paragraph"/>
    <w:basedOn w:val="Normale"/>
    <w:uiPriority w:val="34"/>
    <w:qFormat/>
    <w:rsid w:val="007B12EC"/>
    <w:pPr>
      <w:ind w:left="720"/>
      <w:contextualSpacing/>
    </w:pPr>
    <w:rPr>
      <w:rFonts w:asciiTheme="minorHAnsi" w:eastAsiaTheme="minorHAnsi" w:hAnsiTheme="minorHAnsi" w:cstheme="minorBidi"/>
      <w:kern w:val="2"/>
      <w14:ligatures w14:val="standardContextual"/>
    </w:rPr>
  </w:style>
  <w:style w:type="character" w:styleId="Enfasiintensa">
    <w:name w:val="Intense Emphasis"/>
    <w:basedOn w:val="Carpredefinitoparagrafo"/>
    <w:uiPriority w:val="21"/>
    <w:qFormat/>
    <w:rsid w:val="007B12EC"/>
    <w:rPr>
      <w:i/>
      <w:iCs/>
      <w:color w:val="0F4761" w:themeColor="accent1" w:themeShade="BF"/>
    </w:rPr>
  </w:style>
  <w:style w:type="paragraph" w:styleId="Citazioneintensa">
    <w:name w:val="Intense Quote"/>
    <w:basedOn w:val="Normale"/>
    <w:next w:val="Normale"/>
    <w:link w:val="CitazioneintensaCarattere"/>
    <w:uiPriority w:val="30"/>
    <w:qFormat/>
    <w:rsid w:val="007B12EC"/>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CitazioneintensaCarattere">
    <w:name w:val="Citazione intensa Carattere"/>
    <w:basedOn w:val="Carpredefinitoparagrafo"/>
    <w:link w:val="Citazioneintensa"/>
    <w:uiPriority w:val="30"/>
    <w:rsid w:val="007B12EC"/>
    <w:rPr>
      <w:i/>
      <w:iCs/>
      <w:color w:val="0F4761" w:themeColor="accent1" w:themeShade="BF"/>
    </w:rPr>
  </w:style>
  <w:style w:type="character" w:styleId="Riferimentointenso">
    <w:name w:val="Intense Reference"/>
    <w:basedOn w:val="Carpredefinitoparagrafo"/>
    <w:uiPriority w:val="32"/>
    <w:qFormat/>
    <w:rsid w:val="007B12EC"/>
    <w:rPr>
      <w:b/>
      <w:bCs/>
      <w:smallCaps/>
      <w:color w:val="0F4761" w:themeColor="accent1" w:themeShade="BF"/>
      <w:spacing w:val="5"/>
    </w:rPr>
  </w:style>
  <w:style w:type="paragraph" w:styleId="Intestazione">
    <w:name w:val="header"/>
    <w:basedOn w:val="Normale"/>
    <w:link w:val="IntestazioneCarattere"/>
    <w:uiPriority w:val="99"/>
    <w:unhideWhenUsed/>
    <w:rsid w:val="007B12EC"/>
    <w:pPr>
      <w:tabs>
        <w:tab w:val="center" w:pos="4819"/>
        <w:tab w:val="right" w:pos="9638"/>
      </w:tabs>
      <w:spacing w:after="0" w:line="240" w:lineRule="auto"/>
    </w:pPr>
    <w:rPr>
      <w:rFonts w:asciiTheme="minorHAnsi" w:eastAsiaTheme="minorHAnsi" w:hAnsiTheme="minorHAnsi" w:cstheme="minorBidi"/>
      <w:kern w:val="2"/>
      <w14:ligatures w14:val="standardContextual"/>
    </w:rPr>
  </w:style>
  <w:style w:type="character" w:customStyle="1" w:styleId="IntestazioneCarattere">
    <w:name w:val="Intestazione Carattere"/>
    <w:basedOn w:val="Carpredefinitoparagrafo"/>
    <w:link w:val="Intestazione"/>
    <w:uiPriority w:val="99"/>
    <w:rsid w:val="007B12EC"/>
  </w:style>
  <w:style w:type="paragraph" w:styleId="Pidipagina">
    <w:name w:val="footer"/>
    <w:basedOn w:val="Normale"/>
    <w:link w:val="PidipaginaCarattere"/>
    <w:uiPriority w:val="99"/>
    <w:unhideWhenUsed/>
    <w:rsid w:val="007B12EC"/>
    <w:pPr>
      <w:tabs>
        <w:tab w:val="center" w:pos="4819"/>
        <w:tab w:val="right" w:pos="9638"/>
      </w:tabs>
      <w:spacing w:after="0" w:line="240" w:lineRule="auto"/>
    </w:pPr>
    <w:rPr>
      <w:rFonts w:asciiTheme="minorHAnsi" w:eastAsiaTheme="minorHAnsi" w:hAnsiTheme="minorHAnsi" w:cstheme="minorBidi"/>
      <w:kern w:val="2"/>
      <w14:ligatures w14:val="standardContextual"/>
    </w:rPr>
  </w:style>
  <w:style w:type="character" w:customStyle="1" w:styleId="PidipaginaCarattere">
    <w:name w:val="Piè di pagina Carattere"/>
    <w:basedOn w:val="Carpredefinitoparagrafo"/>
    <w:link w:val="Pidipagina"/>
    <w:uiPriority w:val="99"/>
    <w:rsid w:val="007B12EC"/>
  </w:style>
  <w:style w:type="character" w:styleId="Rimandonotaapidipagina">
    <w:name w:val="footnote reference"/>
    <w:aliases w:val="16 Point Char,Superscript 6 Point Char,Exposant 3 Point Char,footnote ref Char,2001+ Fußnotenzeichen Char,BVI fnr Знак Знак Char,BVI fnr Car Car Знак Знак Char,BVI fnr Car Знак Знак Char,R Char,Footnote symbol,Char1,Ref"/>
    <w:basedOn w:val="Carpredefinitoparagrafo"/>
    <w:link w:val="16Point"/>
    <w:uiPriority w:val="99"/>
    <w:unhideWhenUsed/>
    <w:qFormat/>
    <w:rsid w:val="00F004AA"/>
    <w:rPr>
      <w:vertAlign w:val="superscript"/>
    </w:rPr>
  </w:style>
  <w:style w:type="paragraph" w:customStyle="1" w:styleId="16Point">
    <w:name w:val="16 Point"/>
    <w:aliases w:val="Superscript 6 Point,Exposant 3 Point,footnote ref,2001+ Fußnotenzeichen,BVI fnr Знак Знак,BVI fnr Car Car Знак Знак,BVI fnr Car Знак Знак,R,Times 10 Point,Footnote reference number,Odwołanie przypisu,number,SUPERS,note TESI,fr"/>
    <w:basedOn w:val="Normale"/>
    <w:link w:val="Rimandonotaapidipagina"/>
    <w:uiPriority w:val="99"/>
    <w:rsid w:val="00F004AA"/>
    <w:pPr>
      <w:spacing w:before="40" w:after="40" w:line="200" w:lineRule="exact"/>
    </w:pPr>
    <w:rPr>
      <w:rFonts w:asciiTheme="minorHAnsi" w:eastAsiaTheme="minorHAnsi" w:hAnsiTheme="minorHAnsi" w:cstheme="minorBidi"/>
      <w:kern w:val="2"/>
      <w:vertAlign w:val="superscript"/>
      <w14:ligatures w14:val="standardContextual"/>
    </w:rPr>
  </w:style>
  <w:style w:type="character" w:styleId="Rimandocommento">
    <w:name w:val="annotation reference"/>
    <w:basedOn w:val="Carpredefinitoparagrafo"/>
    <w:uiPriority w:val="99"/>
    <w:semiHidden/>
    <w:unhideWhenUsed/>
    <w:rsid w:val="001E0E9B"/>
    <w:rPr>
      <w:sz w:val="16"/>
      <w:szCs w:val="16"/>
    </w:rPr>
  </w:style>
  <w:style w:type="paragraph" w:styleId="Testocommento">
    <w:name w:val="annotation text"/>
    <w:basedOn w:val="Normale"/>
    <w:link w:val="TestocommentoCarattere"/>
    <w:uiPriority w:val="99"/>
    <w:unhideWhenUsed/>
    <w:rsid w:val="001E0E9B"/>
    <w:pPr>
      <w:spacing w:after="0" w:line="240" w:lineRule="auto"/>
    </w:pPr>
    <w:rPr>
      <w:rFonts w:ascii="Times New Roman" w:eastAsia="Times New Roman" w:hAnsi="Times New Roman"/>
      <w:sz w:val="20"/>
      <w:szCs w:val="20"/>
      <w:lang w:eastAsia="it-IT"/>
    </w:rPr>
  </w:style>
  <w:style w:type="character" w:customStyle="1" w:styleId="TestocommentoCarattere">
    <w:name w:val="Testo commento Carattere"/>
    <w:basedOn w:val="Carpredefinitoparagrafo"/>
    <w:link w:val="Testocommento"/>
    <w:uiPriority w:val="99"/>
    <w:rsid w:val="001E0E9B"/>
    <w:rPr>
      <w:rFonts w:ascii="Times New Roman" w:eastAsia="Times New Roman" w:hAnsi="Times New Roman" w:cs="Times New Roman"/>
      <w:kern w:val="0"/>
      <w:sz w:val="20"/>
      <w:szCs w:val="20"/>
      <w:lang w:eastAsia="it-IT"/>
      <w14:ligatures w14:val="none"/>
    </w:rPr>
  </w:style>
  <w:style w:type="paragraph" w:styleId="Testonotaapidipagina">
    <w:name w:val="footnote text"/>
    <w:aliases w:val="PRI Footnote Text,Char,Fußnote,Carattere,fn,Footnotes,Footnote ak... + Arial,8 pt,Voetnoottekst Char,FSR footnote,lábléc,Footnote Text Char Char,text,Voetnoottekst Char1 Char,Voetnoottekst Char Char Char,o,DNV-FT,ft,Footnote,f"/>
    <w:basedOn w:val="Normale"/>
    <w:link w:val="TestonotaapidipaginaCarattere"/>
    <w:uiPriority w:val="99"/>
    <w:unhideWhenUsed/>
    <w:qFormat/>
    <w:rsid w:val="00B64611"/>
    <w:pPr>
      <w:spacing w:after="0" w:line="240" w:lineRule="auto"/>
    </w:pPr>
    <w:rPr>
      <w:rFonts w:ascii="Times New Roman" w:eastAsiaTheme="minorEastAsia" w:hAnsi="Times New Roman"/>
      <w:sz w:val="24"/>
      <w:szCs w:val="24"/>
      <w:lang w:eastAsia="it-IT"/>
    </w:rPr>
  </w:style>
  <w:style w:type="character" w:customStyle="1" w:styleId="TestonotaapidipaginaCarattere">
    <w:name w:val="Testo nota a piè di pagina Carattere"/>
    <w:aliases w:val="PRI Footnote Text Carattere,Char Carattere,Fußnote Carattere,Carattere Carattere,fn Carattere,Footnotes Carattere,Footnote ak... + Arial Carattere,8 pt Carattere,Voetnoottekst Char Carattere,FSR footnote Carattere"/>
    <w:basedOn w:val="Carpredefinitoparagrafo"/>
    <w:link w:val="Testonotaapidipagina"/>
    <w:uiPriority w:val="99"/>
    <w:qFormat/>
    <w:rsid w:val="00B64611"/>
    <w:rPr>
      <w:rFonts w:ascii="Times New Roman" w:eastAsiaTheme="minorEastAsia" w:hAnsi="Times New Roman" w:cs="Times New Roman"/>
      <w:kern w:val="0"/>
      <w:sz w:val="24"/>
      <w:szCs w:val="24"/>
      <w:lang w:eastAsia="it-IT"/>
      <w14:ligatures w14:val="none"/>
    </w:rPr>
  </w:style>
  <w:style w:type="paragraph" w:styleId="Revisione">
    <w:name w:val="Revision"/>
    <w:hidden/>
    <w:uiPriority w:val="99"/>
    <w:semiHidden/>
    <w:rsid w:val="006632FE"/>
    <w:pPr>
      <w:spacing w:after="0" w:line="240" w:lineRule="auto"/>
    </w:pPr>
    <w:rPr>
      <w:rFonts w:ascii="Calibri" w:eastAsia="Calibri" w:hAnsi="Calibri" w:cs="Times New Roman"/>
      <w:kern w:val="0"/>
      <w14:ligatures w14:val="none"/>
    </w:rPr>
  </w:style>
  <w:style w:type="paragraph" w:styleId="Soggettocommento">
    <w:name w:val="annotation subject"/>
    <w:basedOn w:val="Testocommento"/>
    <w:next w:val="Testocommento"/>
    <w:link w:val="SoggettocommentoCarattere"/>
    <w:uiPriority w:val="99"/>
    <w:semiHidden/>
    <w:unhideWhenUsed/>
    <w:rsid w:val="00AB0E45"/>
    <w:pPr>
      <w:spacing w:after="160"/>
    </w:pPr>
    <w:rPr>
      <w:rFonts w:ascii="Calibri" w:eastAsia="Calibri" w:hAnsi="Calibri"/>
      <w:b/>
      <w:bCs/>
      <w:lang w:eastAsia="en-US"/>
    </w:rPr>
  </w:style>
  <w:style w:type="character" w:customStyle="1" w:styleId="SoggettocommentoCarattere">
    <w:name w:val="Soggetto commento Carattere"/>
    <w:basedOn w:val="TestocommentoCarattere"/>
    <w:link w:val="Soggettocommento"/>
    <w:uiPriority w:val="99"/>
    <w:semiHidden/>
    <w:rsid w:val="00AB0E45"/>
    <w:rPr>
      <w:rFonts w:ascii="Calibri" w:eastAsia="Calibri" w:hAnsi="Calibri" w:cs="Times New Roman"/>
      <w:b/>
      <w:bCs/>
      <w:kern w:val="0"/>
      <w:sz w:val="20"/>
      <w:szCs w:val="20"/>
      <w:lang w:eastAsia="it-I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DCA451-47FF-426D-9B3E-93E481404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Pages>
  <Words>2008</Words>
  <Characters>11450</Characters>
  <Application>Microsoft Office Word</Application>
  <DocSecurity>0</DocSecurity>
  <Lines>95</Lines>
  <Paragraphs>26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Viviana Forcella</dc:creator>
  <cp:keywords/>
  <dc:description/>
  <cp:lastModifiedBy>Luna Moltedo</cp:lastModifiedBy>
  <cp:revision>6</cp:revision>
  <dcterms:created xsi:type="dcterms:W3CDTF">2025-11-06T11:38:00Z</dcterms:created>
  <dcterms:modified xsi:type="dcterms:W3CDTF">2025-11-10T10:12:00Z</dcterms:modified>
</cp:coreProperties>
</file>