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158FC556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E229FD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UMBRIA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70B2972C" w14:textId="77777777" w:rsidR="00E229FD" w:rsidRDefault="00E229FD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861D169" w14:textId="77777777" w:rsidR="00E229FD" w:rsidRPr="00E229FD" w:rsidRDefault="00E229FD" w:rsidP="00E229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229FD">
        <w:rPr>
          <w:rFonts w:ascii="Arial" w:hAnsi="Arial" w:cs="Arial"/>
          <w:b/>
          <w:bCs/>
          <w:sz w:val="16"/>
          <w:szCs w:val="16"/>
        </w:rPr>
        <w:t>IL SISTEMA PRODUTTIVO CULTURALE E CREATIVO DELL’UMBRIA PRODUCE 1 MILIONE DI VALORE AGGIUNTO E 18.882 OCCUPATI</w:t>
      </w:r>
    </w:p>
    <w:p w14:paraId="6BC0D3A3" w14:textId="77777777" w:rsidR="00A14F71" w:rsidRDefault="00A14F71" w:rsidP="00E229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7923CB3" w14:textId="77777777" w:rsidR="00E229FD" w:rsidRDefault="00E229FD" w:rsidP="00E229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UMBRIA</w:t>
      </w:r>
    </w:p>
    <w:p w14:paraId="463465BA" w14:textId="77777777" w:rsidR="00E229FD" w:rsidRDefault="00E229FD" w:rsidP="00E229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2F7AF7" w14:textId="77777777" w:rsidR="00E229FD" w:rsidRDefault="00E229FD" w:rsidP="00E229FD">
      <w:pPr>
        <w:jc w:val="both"/>
        <w:rPr>
          <w:rFonts w:ascii="AktivGroteskCorp-Regular" w:hAnsi="AktivGroteskCorp-Regular" w:cs="AktivGroteskCorp-Regular"/>
          <w:sz w:val="18"/>
          <w:szCs w:val="18"/>
          <w14:ligatures w14:val="standardContextual"/>
        </w:rPr>
      </w:pPr>
      <w:r w:rsidRPr="00F74AA4">
        <w:rPr>
          <w:rFonts w:ascii="Arial" w:hAnsi="Arial" w:cs="Arial"/>
          <w:b/>
          <w:bCs/>
          <w:sz w:val="20"/>
          <w:szCs w:val="20"/>
        </w:rPr>
        <w:t xml:space="preserve">Il Sistema Produttivo Culturale e Creativo dell’Umbria produce </w:t>
      </w:r>
      <w:r>
        <w:rPr>
          <w:rFonts w:ascii="Arial" w:hAnsi="Arial" w:cs="Arial"/>
          <w:b/>
          <w:bCs/>
          <w:sz w:val="20"/>
          <w:szCs w:val="20"/>
        </w:rPr>
        <w:t xml:space="preserve">1.049 milioni </w:t>
      </w:r>
      <w:r w:rsidRPr="00F74AA4">
        <w:rPr>
          <w:rFonts w:ascii="Arial" w:hAnsi="Arial" w:cs="Arial"/>
          <w:b/>
          <w:bCs/>
          <w:sz w:val="20"/>
          <w:szCs w:val="20"/>
        </w:rPr>
        <w:t xml:space="preserve">di valore aggiunto e </w:t>
      </w:r>
      <w:r>
        <w:rPr>
          <w:rFonts w:ascii="Arial" w:hAnsi="Arial" w:cs="Arial"/>
          <w:b/>
          <w:bCs/>
          <w:sz w:val="20"/>
          <w:szCs w:val="20"/>
        </w:rPr>
        <w:t>18.882 occupati</w:t>
      </w:r>
      <w:r w:rsidRPr="00F74AA4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Su base provinciale,</w:t>
      </w:r>
      <w:r w:rsidRPr="00F74AA4">
        <w:rPr>
          <w:rFonts w:ascii="Arial" w:hAnsi="Arial" w:cs="Arial"/>
          <w:b/>
          <w:bCs/>
          <w:sz w:val="20"/>
          <w:szCs w:val="20"/>
        </w:rPr>
        <w:t xml:space="preserve"> Perugia con </w:t>
      </w:r>
      <w:r>
        <w:rPr>
          <w:rFonts w:ascii="Arial" w:hAnsi="Arial" w:cs="Arial"/>
          <w:b/>
          <w:bCs/>
          <w:sz w:val="20"/>
          <w:szCs w:val="20"/>
        </w:rPr>
        <w:t xml:space="preserve">836 milioni di valore aggiunto e 14.733 occupati; </w:t>
      </w:r>
      <w:r w:rsidRPr="00F74AA4">
        <w:rPr>
          <w:rFonts w:ascii="Arial" w:hAnsi="Arial" w:cs="Arial"/>
          <w:b/>
          <w:bCs/>
          <w:sz w:val="20"/>
          <w:szCs w:val="20"/>
        </w:rPr>
        <w:t xml:space="preserve">Terni con </w:t>
      </w:r>
      <w:r>
        <w:rPr>
          <w:rFonts w:ascii="Arial" w:hAnsi="Arial" w:cs="Arial"/>
          <w:b/>
          <w:bCs/>
          <w:sz w:val="20"/>
          <w:szCs w:val="20"/>
        </w:rPr>
        <w:t>213 milioni</w:t>
      </w:r>
      <w:r w:rsidRPr="00F74AA4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4.149 occupati.</w:t>
      </w:r>
      <w:r w:rsidRPr="00FF3248">
        <w:rPr>
          <w:rFonts w:ascii="AktivGroteskCorp-Regular" w:hAnsi="AktivGroteskCorp-Regular" w:cs="AktivGroteskCorp-Regular"/>
          <w:sz w:val="18"/>
          <w:szCs w:val="18"/>
          <w14:ligatures w14:val="standardContextual"/>
        </w:rPr>
        <w:t xml:space="preserve"> 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649E" w14:textId="77777777" w:rsidR="00346643" w:rsidRDefault="00346643" w:rsidP="00CE6BE8">
      <w:pPr>
        <w:spacing w:after="0" w:line="240" w:lineRule="auto"/>
      </w:pPr>
      <w:r>
        <w:separator/>
      </w:r>
    </w:p>
  </w:endnote>
  <w:endnote w:type="continuationSeparator" w:id="0">
    <w:p w14:paraId="7B8F13E3" w14:textId="77777777" w:rsidR="00346643" w:rsidRDefault="00346643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ktivGroteskCorp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9917" w14:textId="77777777" w:rsidR="00346643" w:rsidRDefault="00346643" w:rsidP="00CE6BE8">
      <w:pPr>
        <w:spacing w:after="0" w:line="240" w:lineRule="auto"/>
      </w:pPr>
      <w:r>
        <w:separator/>
      </w:r>
    </w:p>
  </w:footnote>
  <w:footnote w:type="continuationSeparator" w:id="0">
    <w:p w14:paraId="3E7F2AE5" w14:textId="77777777" w:rsidR="00346643" w:rsidRDefault="00346643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46643"/>
    <w:rsid w:val="00350EF2"/>
    <w:rsid w:val="0035122D"/>
    <w:rsid w:val="003517F3"/>
    <w:rsid w:val="00360E61"/>
    <w:rsid w:val="00372427"/>
    <w:rsid w:val="0038631E"/>
    <w:rsid w:val="00387F90"/>
    <w:rsid w:val="003902B2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229FD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86</cp:revision>
  <cp:lastPrinted>2025-09-23T13:05:00Z</cp:lastPrinted>
  <dcterms:created xsi:type="dcterms:W3CDTF">2024-09-12T15:53:00Z</dcterms:created>
  <dcterms:modified xsi:type="dcterms:W3CDTF">2025-11-21T11:18:00Z</dcterms:modified>
</cp:coreProperties>
</file>