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7364" w14:textId="38D3E1F1" w:rsidR="004762C7" w:rsidRPr="00DA2D21" w:rsidRDefault="00F0313B" w:rsidP="00123240">
      <w:pPr>
        <w:spacing w:after="0"/>
        <w:jc w:val="center"/>
        <w:rPr>
          <w:b/>
          <w:bCs/>
          <w:u w:val="single"/>
        </w:rPr>
      </w:pPr>
      <w:r w:rsidRPr="00DA2D21">
        <w:rPr>
          <w:b/>
          <w:bCs/>
          <w:u w:val="single"/>
        </w:rPr>
        <w:t>COMUNICATO STAMPA</w:t>
      </w:r>
    </w:p>
    <w:p w14:paraId="293686F4" w14:textId="77777777" w:rsidR="00F0313B" w:rsidRPr="00DA2D21" w:rsidRDefault="00F0313B" w:rsidP="00123240">
      <w:pPr>
        <w:spacing w:after="0"/>
      </w:pPr>
    </w:p>
    <w:p w14:paraId="07C59327" w14:textId="77777777" w:rsidR="00F0313B" w:rsidRPr="00DA2D21" w:rsidRDefault="00F0313B" w:rsidP="00123240">
      <w:pPr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A2D21">
        <w:rPr>
          <w:rFonts w:ascii="Arial" w:hAnsi="Arial" w:cs="Arial"/>
          <w:b/>
          <w:bCs/>
          <w:sz w:val="20"/>
          <w:szCs w:val="20"/>
          <w:u w:val="single"/>
        </w:rPr>
        <w:t>10 TESI PER LA SOSTENIBILITÀ</w:t>
      </w:r>
    </w:p>
    <w:p w14:paraId="5F52E503" w14:textId="77777777" w:rsidR="00C52593" w:rsidRPr="00DA2D21" w:rsidRDefault="00C52593" w:rsidP="00123240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AAF75D" w14:textId="77777777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UNIVERSITÀ E NEOLAUREATI IN CAMPO PER UN FUTURO A MISURA D’UOMO</w:t>
      </w:r>
    </w:p>
    <w:p w14:paraId="7F9FF088" w14:textId="77777777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35DB9D99" w14:textId="7BA91E7A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DA2D21">
        <w:rPr>
          <w:rFonts w:ascii="Arial" w:hAnsi="Arial" w:cs="Arial"/>
          <w:b/>
          <w:bCs/>
          <w:sz w:val="18"/>
          <w:szCs w:val="18"/>
        </w:rPr>
        <w:t>1</w:t>
      </w:r>
      <w:r w:rsidR="00123240" w:rsidRPr="00DA2D21">
        <w:rPr>
          <w:rFonts w:ascii="Arial" w:hAnsi="Arial" w:cs="Arial"/>
          <w:b/>
          <w:bCs/>
          <w:sz w:val="18"/>
          <w:szCs w:val="18"/>
        </w:rPr>
        <w:t>69</w:t>
      </w:r>
      <w:r w:rsidR="00BE5143">
        <w:rPr>
          <w:rFonts w:ascii="Arial" w:hAnsi="Arial" w:cs="Arial"/>
          <w:b/>
          <w:bCs/>
          <w:sz w:val="18"/>
          <w:szCs w:val="18"/>
        </w:rPr>
        <w:t>9</w:t>
      </w:r>
      <w:r w:rsidRPr="00DA2D21">
        <w:rPr>
          <w:rFonts w:ascii="Arial" w:hAnsi="Arial" w:cs="Arial"/>
          <w:b/>
          <w:bCs/>
          <w:sz w:val="18"/>
          <w:szCs w:val="18"/>
        </w:rPr>
        <w:t xml:space="preserve"> PARTECIPANTI</w:t>
      </w:r>
      <w:r w:rsidRPr="00DA2D21">
        <w:rPr>
          <w:rFonts w:ascii="Arial" w:hAnsi="Arial" w:cs="Arial"/>
          <w:b/>
          <w:sz w:val="18"/>
          <w:szCs w:val="18"/>
        </w:rPr>
        <w:t xml:space="preserve"> (</w:t>
      </w:r>
      <w:r w:rsidR="00123240" w:rsidRPr="00DA2D21">
        <w:rPr>
          <w:rFonts w:ascii="Arial" w:hAnsi="Arial" w:cs="Arial"/>
          <w:b/>
          <w:sz w:val="18"/>
          <w:szCs w:val="18"/>
        </w:rPr>
        <w:t>61</w:t>
      </w:r>
      <w:r w:rsidRPr="00DA2D21">
        <w:rPr>
          <w:rFonts w:ascii="Arial" w:hAnsi="Arial" w:cs="Arial"/>
          <w:b/>
          <w:sz w:val="18"/>
          <w:szCs w:val="18"/>
        </w:rPr>
        <w:t xml:space="preserve">% DONNE E </w:t>
      </w:r>
      <w:r w:rsidR="00123240" w:rsidRPr="00DA2D21">
        <w:rPr>
          <w:rFonts w:ascii="Arial" w:hAnsi="Arial" w:cs="Arial"/>
          <w:b/>
          <w:sz w:val="18"/>
          <w:szCs w:val="18"/>
        </w:rPr>
        <w:t>39</w:t>
      </w:r>
      <w:r w:rsidRPr="00DA2D21">
        <w:rPr>
          <w:rFonts w:ascii="Arial" w:hAnsi="Arial" w:cs="Arial"/>
          <w:b/>
          <w:sz w:val="18"/>
          <w:szCs w:val="18"/>
        </w:rPr>
        <w:t xml:space="preserve">% UOMINI) </w:t>
      </w:r>
      <w:r w:rsidR="003178B4" w:rsidRPr="00DA2D21">
        <w:rPr>
          <w:rFonts w:ascii="Arial" w:hAnsi="Arial" w:cs="Arial"/>
          <w:b/>
          <w:sz w:val="18"/>
          <w:szCs w:val="18"/>
        </w:rPr>
        <w:t>da 81 UNIVERSIT</w:t>
      </w:r>
      <w:r w:rsidR="003178B4" w:rsidRPr="00DA2D21">
        <w:rPr>
          <w:rFonts w:ascii="Calibri" w:hAnsi="Calibri" w:cs="Calibri"/>
          <w:b/>
          <w:sz w:val="18"/>
          <w:szCs w:val="18"/>
        </w:rPr>
        <w:t>À</w:t>
      </w:r>
      <w:r w:rsidR="003178B4" w:rsidRPr="00DA2D21">
        <w:rPr>
          <w:rFonts w:ascii="Arial" w:hAnsi="Arial" w:cs="Arial"/>
          <w:b/>
          <w:sz w:val="18"/>
          <w:szCs w:val="18"/>
        </w:rPr>
        <w:t xml:space="preserve"> </w:t>
      </w:r>
      <w:r w:rsidRPr="00DA2D21">
        <w:rPr>
          <w:rFonts w:ascii="Arial" w:hAnsi="Arial" w:cs="Arial"/>
          <w:b/>
          <w:sz w:val="18"/>
          <w:szCs w:val="18"/>
        </w:rPr>
        <w:t xml:space="preserve">AL BANDO DI CONCORSO 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“10 TESI PER LA SOSTENIBILITÀ”</w:t>
      </w:r>
      <w:r w:rsidRPr="00DA2D21">
        <w:rPr>
          <w:rFonts w:ascii="Arial" w:hAnsi="Arial" w:cs="Arial"/>
          <w:b/>
          <w:sz w:val="18"/>
          <w:szCs w:val="18"/>
        </w:rPr>
        <w:t xml:space="preserve"> DI</w:t>
      </w:r>
      <w:r w:rsidRPr="00DA2D21">
        <w:rPr>
          <w:rFonts w:ascii="Arial" w:hAnsi="Arial" w:cs="Arial"/>
          <w:b/>
          <w:bCs/>
          <w:sz w:val="18"/>
          <w:szCs w:val="18"/>
        </w:rPr>
        <w:t xml:space="preserve"> FONDAZIONE </w:t>
      </w:r>
      <w:r w:rsidRPr="00DA2D21">
        <w:rPr>
          <w:rFonts w:ascii="Arial" w:hAnsi="Arial" w:cs="Arial"/>
          <w:b/>
          <w:sz w:val="18"/>
          <w:szCs w:val="18"/>
        </w:rPr>
        <w:t>SYMBOLA, LUISS E UNIONCAMERE</w:t>
      </w:r>
      <w:r w:rsidRPr="00DA2D21">
        <w:rPr>
          <w:rFonts w:ascii="Arial" w:hAnsi="Arial" w:cs="Arial"/>
          <w:b/>
          <w:bCs/>
          <w:sz w:val="18"/>
          <w:szCs w:val="18"/>
        </w:rPr>
        <w:t xml:space="preserve"> CON IL SOSTEGNO DI DELOITTE</w:t>
      </w:r>
      <w:r w:rsidRPr="00DA2D21">
        <w:rPr>
          <w:rFonts w:ascii="Arial" w:eastAsia="Times New Roman" w:hAnsi="Arial" w:cs="Arial"/>
          <w:color w:val="000000"/>
          <w:kern w:val="0"/>
          <w:sz w:val="18"/>
          <w:szCs w:val="18"/>
          <w:lang w:eastAsia="it-IT"/>
          <w14:ligatures w14:val="none"/>
        </w:rPr>
        <w:t xml:space="preserve"> 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CLIMATE &amp; SUSTAINABILITY E IL PATROCINIO DEL MINISTERO DELL’UNIVERSITÀ E DELLA RICERCA</w:t>
      </w:r>
    </w:p>
    <w:p w14:paraId="4539CABA" w14:textId="77777777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3EC57DFB" w14:textId="791C6E12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REALACCI (FONDAZIONE SYMBOLA): </w:t>
      </w:r>
      <w:r w:rsidRPr="00DA2D21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UNA GRANDE PARTECIPAZIONE CHE VALE MOLTO PIÙ DI UN SONDAGGIO. LA POSSIBILITÀ DI AFFRONTARE LE SFIDE CHE ABBIAMO DAVANTI PUÒ CONTARE SULLE ENERGIE PULITE E RINNOVABILI DEI SAPERI E DELLE INTELLIGENZE GIOVANI PRESENTI NEL NOSTRO PAESE</w:t>
      </w:r>
    </w:p>
    <w:p w14:paraId="5322FAD3" w14:textId="77777777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</w:p>
    <w:p w14:paraId="7FFD5C19" w14:textId="62CC2C52" w:rsidR="00F0313B" w:rsidRPr="00DA2D21" w:rsidRDefault="00F0313B" w:rsidP="00123240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</w:pP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AL LAVORO IL COMITATO SCIENTIFICO COMPOSTO DA 2</w:t>
      </w:r>
      <w:r w:rsidR="00123240"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6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 ATENEI</w:t>
      </w:r>
      <w:r w:rsidRPr="00DA2D21">
        <w:rPr>
          <w:rFonts w:ascii="Arial" w:hAnsi="Arial" w:cs="Arial"/>
          <w:sz w:val="18"/>
          <w:szCs w:val="18"/>
        </w:rPr>
        <w:t xml:space="preserve"> E 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>PRESIEDUTO DA</w:t>
      </w:r>
      <w:r w:rsidR="00E92804"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I </w:t>
      </w:r>
      <w:r w:rsidR="003E080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DOCENTI STEFANO ZAMAGNI, </w:t>
      </w:r>
      <w:r w:rsidR="00123240" w:rsidRPr="00DA2D2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EMILIANA DE BLASIO, MARCO FREY </w:t>
      </w:r>
    </w:p>
    <w:p w14:paraId="18584430" w14:textId="77777777" w:rsidR="00F0313B" w:rsidRPr="00DA2D21" w:rsidRDefault="00F0313B" w:rsidP="00123240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4609D172" w14:textId="77777777" w:rsidR="00CD57C4" w:rsidRPr="00DA2D21" w:rsidRDefault="00CD57C4" w:rsidP="00123240">
      <w:pPr>
        <w:spacing w:after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35D0F0A0" w14:textId="7839A989" w:rsidR="00123240" w:rsidRPr="00DA2D21" w:rsidRDefault="00F0313B" w:rsidP="00123240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Il mondo universitario batte un colpo per un futuro a misura d’uomo: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sono 1</w:t>
      </w:r>
      <w:r w:rsidR="00123240"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.</w:t>
      </w:r>
      <w:r w:rsidR="00FF2E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69</w:t>
      </w:r>
      <w:r w:rsidR="00BE514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9</w:t>
      </w:r>
      <w:r w:rsidR="00FF2EC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partecipanti provenienti da</w:t>
      </w:r>
      <w:r w:rsidR="00E92804"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oltre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8</w:t>
      </w:r>
      <w:r w:rsidR="00E92804"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0</w:t>
      </w:r>
      <w:r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università di tutta Italia</w:t>
      </w: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al </w:t>
      </w:r>
      <w:r w:rsidR="00C35208"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Premio di Laurea</w:t>
      </w: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“</w:t>
      </w:r>
      <w:r w:rsidR="00123240"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10</w:t>
      </w: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tesi per la sostenibilità”. 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È un’iniziativa promossa da Fondazione Symbola, Luiss e Unioncamere con il sostegno di Deloitte</w:t>
      </w:r>
      <w:r w:rsidR="00FC4B09" w:rsidRPr="00DA2D21">
        <w:rPr>
          <w:rFonts w:ascii="Arial" w:hAnsi="Arial" w:cs="Arial"/>
          <w:sz w:val="24"/>
          <w:szCs w:val="24"/>
        </w:rPr>
        <w:t xml:space="preserve"> 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Climate &amp; Sustainability, il patrocinio del Ministero dell’Università e la Ricerca e della Conferenza dei Rettori (C</w:t>
      </w:r>
      <w:r w:rsidR="00123240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RUI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="00C2101C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, della </w:t>
      </w:r>
      <w:r w:rsidR="005F4C78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Fondazione </w:t>
      </w:r>
      <w:r w:rsidR="00C2101C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Fratelli Tutti 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e la collaborazione del Consorzio Interuniversitario AlmaLaurea, della Rete delle Università per lo Sviluppo sostenibile (RUS)</w:t>
      </w:r>
      <w:r w:rsidR="004F0200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del Consorzio Interuniversitario nazionale per la Scienza e la Tecnologia dei Materiali (I</w:t>
      </w:r>
      <w:r w:rsidR="00123240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NSTM</w:t>
      </w:r>
      <w:r w:rsidR="00FC4B09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) </w:t>
      </w:r>
      <w:r w:rsidR="00C35208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e 26 Università</w:t>
      </w:r>
      <w:r w:rsidR="00C2101C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14:paraId="37AACA33" w14:textId="77777777" w:rsidR="00123240" w:rsidRPr="00DA2D21" w:rsidRDefault="00123240" w:rsidP="00123240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</w:p>
    <w:p w14:paraId="49F8663F" w14:textId="76AFA555" w:rsidR="00C35208" w:rsidRPr="00DA2D21" w:rsidRDefault="00123240" w:rsidP="00E928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A2D2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Gli Atenei partner sono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: </w:t>
      </w:r>
      <w:r w:rsidR="00FC4B09" w:rsidRPr="00DA2D21">
        <w:rPr>
          <w:rFonts w:ascii="Arial" w:hAnsi="Arial" w:cs="Arial"/>
          <w:sz w:val="24"/>
          <w:szCs w:val="24"/>
        </w:rPr>
        <w:t xml:space="preserve">Bocconi di Milano, </w:t>
      </w:r>
      <w:r w:rsidR="00C35208" w:rsidRPr="00DA2D21">
        <w:rPr>
          <w:rFonts w:ascii="Arial" w:hAnsi="Arial" w:cs="Arial"/>
          <w:sz w:val="24"/>
          <w:szCs w:val="24"/>
        </w:rPr>
        <w:t xml:space="preserve">Cattolica del Sacro Cuore, </w:t>
      </w:r>
      <w:r w:rsidR="00FC4B09" w:rsidRPr="00DA2D21">
        <w:rPr>
          <w:rFonts w:ascii="Arial" w:hAnsi="Arial" w:cs="Arial"/>
          <w:sz w:val="24"/>
          <w:szCs w:val="24"/>
        </w:rPr>
        <w:t xml:space="preserve">Ca' Foscari di Venezia, Federico II di Napoli, La Sapienza, LUMSA, </w:t>
      </w:r>
      <w:r w:rsidR="00C35208" w:rsidRPr="00DA2D21">
        <w:rPr>
          <w:rFonts w:ascii="Arial" w:hAnsi="Arial" w:cs="Arial"/>
          <w:sz w:val="24"/>
          <w:szCs w:val="24"/>
        </w:rPr>
        <w:t xml:space="preserve">Politecnica delle Marche, </w:t>
      </w:r>
      <w:r w:rsidR="00FC4B09" w:rsidRPr="00DA2D21">
        <w:rPr>
          <w:rFonts w:ascii="Arial" w:hAnsi="Arial" w:cs="Arial"/>
          <w:sz w:val="24"/>
          <w:szCs w:val="24"/>
        </w:rPr>
        <w:t xml:space="preserve">Politecnico di Milano, Politecnico di Torino, Roma Tor Vergata, Sant'Anna di Pisa, le Università degli Studi di Bari Aldo Moro, Basilicata, Brescia, Cagliari, Camerino, </w:t>
      </w:r>
      <w:r w:rsidR="00C35208" w:rsidRPr="00DA2D21">
        <w:rPr>
          <w:rFonts w:ascii="Arial" w:hAnsi="Arial" w:cs="Arial"/>
          <w:sz w:val="24"/>
          <w:szCs w:val="24"/>
        </w:rPr>
        <w:t xml:space="preserve">Ferrara, L’Aquila, </w:t>
      </w:r>
      <w:r w:rsidR="00FC4B09" w:rsidRPr="00DA2D21">
        <w:rPr>
          <w:rFonts w:ascii="Arial" w:hAnsi="Arial" w:cs="Arial"/>
          <w:sz w:val="24"/>
          <w:szCs w:val="24"/>
        </w:rPr>
        <w:t xml:space="preserve">Macerata, Milano-Bicocca, Padova, Parma, Perugia, Teramo, Università telematica San Raffaele Roma, Universitas Mercatorum. </w:t>
      </w:r>
    </w:p>
    <w:p w14:paraId="512F3947" w14:textId="77777777" w:rsidR="00C35208" w:rsidRPr="00DA2D21" w:rsidRDefault="00C35208" w:rsidP="00E928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3C9F96" w14:textId="2787809E" w:rsidR="00F0313B" w:rsidRPr="00DA2D21" w:rsidRDefault="00FC4B09" w:rsidP="0012324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Il </w:t>
      </w:r>
      <w:r w:rsidR="00E92804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C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omitato </w:t>
      </w:r>
      <w:r w:rsidR="00E92804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cientifico che 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selezionerà i vincitori è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presieduto da</w:t>
      </w:r>
      <w:r w:rsidRPr="00DA2D21">
        <w:rPr>
          <w:rFonts w:ascii="Arial" w:hAnsi="Arial" w:cs="Arial"/>
          <w:sz w:val="24"/>
          <w:szCs w:val="24"/>
        </w:rPr>
        <w:t xml:space="preserve"> 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Stefano Zamagni,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="00D02CB5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Docente emerito dell’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Università di Bologna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Emiliana De Blasio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="00D02CB5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Advisor per la Diversità, l’Inclusione e la Sostenibilità alla 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Luiss)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, e Marco Frey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(</w:t>
      </w:r>
      <w:r w:rsidR="00D02CB5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Docente del 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S.Anna</w:t>
      </w:r>
      <w:r w:rsidR="00D02CB5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di Pisa</w:t>
      </w:r>
      <w:r w:rsidR="003E0806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 e presidente del Comitato Scientifico di Fondazione Symbola</w:t>
      </w:r>
      <w:r w:rsidR="00E8396E"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)</w:t>
      </w:r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 xml:space="preserve">. Gli elaborati saranno consultabili sul sito </w:t>
      </w:r>
      <w:hyperlink r:id="rId6" w:history="1">
        <w:r w:rsidR="00E92804" w:rsidRPr="00DA2D21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www.symbola.net</w:t>
        </w:r>
      </w:hyperlink>
      <w:r w:rsidRPr="00DA2D21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.</w:t>
      </w:r>
      <w:r w:rsidRPr="00DA2D21">
        <w:t xml:space="preserve"> </w:t>
      </w:r>
      <w:r w:rsidR="00F0313B"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sono per il 61% donne e per il 3</w:t>
      </w:r>
      <w:r w:rsidR="00E92804"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9</w:t>
      </w:r>
      <w:r w:rsidR="00F0313B"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% uomini.</w:t>
      </w:r>
    </w:p>
    <w:p w14:paraId="19264D9C" w14:textId="77777777" w:rsidR="00123240" w:rsidRPr="00DA2D21" w:rsidRDefault="00123240" w:rsidP="0012324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7B6DAEB" w14:textId="7F5E9711" w:rsidR="005F4C78" w:rsidRDefault="00123240" w:rsidP="00DA58D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Gli Atenei con il maggior numero di candidature sono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bookmarkStart w:id="0" w:name="_Hlk158371398"/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Università Cattolica del Sacro Cuore</w:t>
      </w:r>
      <w:r w:rsidR="005F4C7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(203 tesi)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4F0200"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Università di Bologna</w:t>
      </w:r>
      <w:r w:rsidR="005F4C7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(107 tesi)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"La Sapienza" di Roma</w:t>
      </w:r>
      <w:r w:rsidR="005F4C7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(90 tesi) </w:t>
      </w:r>
      <w:r w:rsidR="00840C84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</w:t>
      </w:r>
      <w:r w:rsidR="005F4C7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seguire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Padova, Torino, Roma Tor Vergata, Federico II di Napoli, Ca’ Foscari di Venezia, Università Politecnica Marche, Politecnico di Milano. </w:t>
      </w:r>
      <w:bookmarkEnd w:id="0"/>
    </w:p>
    <w:p w14:paraId="554357E0" w14:textId="34BB1239" w:rsidR="004F0200" w:rsidRPr="00DA2D21" w:rsidRDefault="004F0200" w:rsidP="00DA58D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 livello regionale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Lombardia (382 tesi) 22,50% Lazio (270) 15,90%, Emilia-Romagna (208) 12,24%, Veneto (166) 9,78%, Campania (115) 6,77%.</w:t>
      </w:r>
    </w:p>
    <w:p w14:paraId="434DD9A9" w14:textId="77777777" w:rsidR="004F0200" w:rsidRPr="00DA2D21" w:rsidRDefault="004F0200" w:rsidP="004F020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0CAEEE2" w14:textId="3B8521AA" w:rsidR="00123240" w:rsidRPr="00DA2D21" w:rsidRDefault="00123240" w:rsidP="0012324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Ai 10 vincitori un premio di 2.000 euro. Ci saranno poi menzioni per le tesi più meritevoli e verrà favorita la possibilità per i neolaureati di tirocini con imprese per favorire il rapporto con il mondo del lavoro.</w:t>
      </w:r>
    </w:p>
    <w:p w14:paraId="207E2BA8" w14:textId="77777777" w:rsidR="00F0313B" w:rsidRPr="00DA2D21" w:rsidRDefault="00F0313B" w:rsidP="0012324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5D802F" w14:textId="7A43C665" w:rsidR="00F0313B" w:rsidRPr="00261B65" w:rsidRDefault="00F0313B" w:rsidP="0012324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A2D2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Ermete Realacci, presidente di Fondazione Symbola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“Il bando ‘10 Tesi per la Sostenibilità’ ha visto una grande partecipazione che vale molto più di un sondaggio. Ci potrà fornire informazioni e stimoli importanti. La possibilità di affrontare le sfide che abbiamo davanti </w:t>
      </w:r>
      <w:r w:rsidR="003E080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deve 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contare anche sulle energie pulite e rinnovabili dei saperi e delle intelligenze giovani presenti nel nostro Paese. </w:t>
      </w:r>
      <w:r w:rsidR="003E080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premio va a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tesi universitarie</w:t>
      </w:r>
      <w:r w:rsidR="003E080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valide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provenienti da</w:t>
      </w:r>
      <w:r w:rsidR="003E080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tutte le</w:t>
      </w:r>
      <w:r w:rsidRPr="00DA2D2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aree disciplinari che abbiano forti e originali riferimenti al principio della sostenibilità. Un’occasione per dare forza ad un’Italia che fa l’Italia. Affrontare con coraggio la crisi climatica non è solo necessario ma rappresenta una grande occasione per rendere la nostra economia e la nostra società più a misura d’uomo e per questo più capaci di futuro. Una formidabile spinta per contrastare la crisi climatica è venuta in più occasioni dal Papa e dal presidente Mattarella. In questa direzione si muove l’Europa indicando coesione, transizione verde e digitale come la strada per rafforzare la nostra economia”.</w:t>
      </w:r>
    </w:p>
    <w:p w14:paraId="550B4EBC" w14:textId="77777777" w:rsidR="00F0313B" w:rsidRDefault="00F0313B" w:rsidP="0012324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2DD85CF6" w14:textId="77777777" w:rsidR="00F0313B" w:rsidRPr="00261B65" w:rsidRDefault="00F0313B" w:rsidP="0012324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60731AF6" w14:textId="77777777" w:rsidR="00F0313B" w:rsidRPr="00261B65" w:rsidRDefault="00F0313B" w:rsidP="001232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5F6C2C" w14:textId="77777777" w:rsidR="00F0313B" w:rsidRDefault="00F0313B" w:rsidP="00123240">
      <w:pPr>
        <w:spacing w:after="0"/>
      </w:pPr>
    </w:p>
    <w:sectPr w:rsidR="00F031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C7AE5"/>
    <w:multiLevelType w:val="multilevel"/>
    <w:tmpl w:val="E86A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99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DB"/>
    <w:rsid w:val="00092555"/>
    <w:rsid w:val="000D6A4B"/>
    <w:rsid w:val="00123240"/>
    <w:rsid w:val="001B6EDB"/>
    <w:rsid w:val="002A235D"/>
    <w:rsid w:val="003178B4"/>
    <w:rsid w:val="00373A3A"/>
    <w:rsid w:val="003E0806"/>
    <w:rsid w:val="004762C7"/>
    <w:rsid w:val="00493078"/>
    <w:rsid w:val="004F0200"/>
    <w:rsid w:val="00515A92"/>
    <w:rsid w:val="00593841"/>
    <w:rsid w:val="005F4C78"/>
    <w:rsid w:val="00817F6F"/>
    <w:rsid w:val="00840C84"/>
    <w:rsid w:val="008A51CF"/>
    <w:rsid w:val="008B3CA5"/>
    <w:rsid w:val="00974287"/>
    <w:rsid w:val="00A16E65"/>
    <w:rsid w:val="00BE5143"/>
    <w:rsid w:val="00C2101C"/>
    <w:rsid w:val="00C35208"/>
    <w:rsid w:val="00C51AEB"/>
    <w:rsid w:val="00C52593"/>
    <w:rsid w:val="00CD57C4"/>
    <w:rsid w:val="00D02CB5"/>
    <w:rsid w:val="00DA2D21"/>
    <w:rsid w:val="00DA58DF"/>
    <w:rsid w:val="00E353FC"/>
    <w:rsid w:val="00E8396E"/>
    <w:rsid w:val="00E92804"/>
    <w:rsid w:val="00F0313B"/>
    <w:rsid w:val="00F70B7E"/>
    <w:rsid w:val="00F827D6"/>
    <w:rsid w:val="00FC4B09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143"/>
  <w15:chartTrackingRefBased/>
  <w15:docId w15:val="{43244244-A017-44E4-924F-FAB78AC7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E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E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E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E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E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E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E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E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E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E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ED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280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ymbola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F01A-7946-472E-8C58-EA135A31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10</cp:revision>
  <cp:lastPrinted>2026-02-06T09:52:00Z</cp:lastPrinted>
  <dcterms:created xsi:type="dcterms:W3CDTF">2026-02-05T09:33:00Z</dcterms:created>
  <dcterms:modified xsi:type="dcterms:W3CDTF">2026-02-09T10:48:00Z</dcterms:modified>
</cp:coreProperties>
</file>