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2A8CE9A7"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554716">
        <w:rPr>
          <w:rFonts w:eastAsia="Times New Roman" w:cstheme="minorHAnsi"/>
          <w:b/>
          <w:bCs/>
          <w:sz w:val="16"/>
          <w:szCs w:val="16"/>
          <w:u w:val="single"/>
          <w:lang w:eastAsia="it-IT"/>
        </w:rPr>
        <w:t xml:space="preserve"> LIGURIA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090BF654" w14:textId="77777777" w:rsidR="00554716" w:rsidRDefault="00554716" w:rsidP="00CF4AA5">
      <w:pPr>
        <w:autoSpaceDE w:val="0"/>
        <w:autoSpaceDN w:val="0"/>
        <w:adjustRightInd w:val="0"/>
        <w:spacing w:after="0" w:line="240" w:lineRule="auto"/>
        <w:jc w:val="center"/>
        <w:rPr>
          <w:rFonts w:cstheme="minorHAnsi"/>
          <w:b/>
          <w:bCs/>
          <w:sz w:val="16"/>
          <w:szCs w:val="16"/>
        </w:rPr>
      </w:pPr>
    </w:p>
    <w:p w14:paraId="766685A5" w14:textId="4822817E" w:rsidR="00554716" w:rsidRPr="00270BE3" w:rsidRDefault="00554716" w:rsidP="00CF4AA5">
      <w:pPr>
        <w:autoSpaceDE w:val="0"/>
        <w:autoSpaceDN w:val="0"/>
        <w:adjustRightInd w:val="0"/>
        <w:spacing w:after="0" w:line="240" w:lineRule="auto"/>
        <w:jc w:val="center"/>
        <w:rPr>
          <w:rFonts w:cstheme="minorHAnsi"/>
          <w:b/>
          <w:bCs/>
          <w:sz w:val="16"/>
          <w:szCs w:val="16"/>
        </w:rPr>
      </w:pPr>
      <w:r w:rsidRPr="00554716">
        <w:rPr>
          <w:rFonts w:cstheme="minorHAnsi"/>
          <w:b/>
          <w:bCs/>
          <w:sz w:val="16"/>
          <w:szCs w:val="16"/>
        </w:rPr>
        <w:t>IL SISTEMA PRODUTTIVO CULTURALE E CREATIVO DELLA LIGURIA PRODUCE 2 MILIARDI DI EURO DI VALORE AGGIUNTO E OLTRE 30 MILA OCCUPATI</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275E1DC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74207E30"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11464F">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11464F">
        <w:rPr>
          <w:rFonts w:asciiTheme="minorHAnsi" w:eastAsia="AktivGrotesk-Regular" w:hAnsiTheme="minorHAnsi" w:cstheme="minorHAnsi"/>
          <w:b/>
          <w:bCs/>
          <w:sz w:val="20"/>
          <w:szCs w:val="20"/>
        </w:rPr>
        <w:t xml:space="preserve"> </w:t>
      </w:r>
      <w:r w:rsidR="00BA0596">
        <w:rPr>
          <w:rFonts w:asciiTheme="minorHAnsi" w:eastAsia="AktivGrotesk-Regular" w:hAnsiTheme="minorHAnsi" w:cstheme="minorHAnsi"/>
          <w:b/>
          <w:bCs/>
          <w:sz w:val="20"/>
          <w:szCs w:val="20"/>
        </w:rPr>
        <w:t xml:space="preserve">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774412">
      <w:pPr>
        <w:spacing w:after="0" w:line="276"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2DAD87C6" w14:textId="77777777" w:rsidR="00554716" w:rsidRDefault="00554716" w:rsidP="00554716">
      <w:pPr>
        <w:pStyle w:val="Default"/>
        <w:jc w:val="both"/>
        <w:rPr>
          <w:rFonts w:ascii="Arial" w:eastAsia="AktivGrotesk-Regular" w:hAnsi="Arial" w:cs="Arial"/>
          <w:b/>
          <w:bCs/>
          <w:sz w:val="18"/>
          <w:szCs w:val="18"/>
        </w:rPr>
      </w:pPr>
    </w:p>
    <w:p w14:paraId="02FB6CC7" w14:textId="2AF5AAFD" w:rsidR="00554716" w:rsidRPr="00685F7E" w:rsidRDefault="00554716" w:rsidP="00554716">
      <w:pPr>
        <w:pStyle w:val="Default"/>
        <w:jc w:val="both"/>
        <w:rPr>
          <w:rFonts w:ascii="Arial" w:eastAsia="AktivGrotesk-Regular" w:hAnsi="Arial" w:cs="Arial"/>
          <w:b/>
          <w:bCs/>
          <w:sz w:val="18"/>
          <w:szCs w:val="18"/>
        </w:rPr>
      </w:pPr>
      <w:r w:rsidRPr="00685F7E">
        <w:rPr>
          <w:rFonts w:ascii="Arial" w:eastAsia="AktivGrotesk-Regular" w:hAnsi="Arial" w:cs="Arial"/>
          <w:b/>
          <w:bCs/>
          <w:sz w:val="18"/>
          <w:szCs w:val="18"/>
        </w:rPr>
        <w:t>LIGURIA</w:t>
      </w:r>
    </w:p>
    <w:p w14:paraId="0288B569" w14:textId="77777777" w:rsidR="00554716" w:rsidRPr="00685F7E" w:rsidRDefault="00554716" w:rsidP="00554716">
      <w:pPr>
        <w:pStyle w:val="Default"/>
        <w:jc w:val="both"/>
        <w:rPr>
          <w:rFonts w:ascii="Arial" w:eastAsia="AktivGrotesk-Regular" w:hAnsi="Arial" w:cs="Arial"/>
          <w:b/>
          <w:bCs/>
          <w:sz w:val="18"/>
          <w:szCs w:val="18"/>
        </w:rPr>
      </w:pPr>
    </w:p>
    <w:p w14:paraId="21DBF897" w14:textId="77777777" w:rsidR="00554716" w:rsidRPr="00554716" w:rsidRDefault="00554716" w:rsidP="00554716">
      <w:pPr>
        <w:jc w:val="both"/>
        <w:rPr>
          <w:rFonts w:cstheme="minorHAnsi"/>
          <w:b/>
          <w:bCs/>
          <w:sz w:val="20"/>
          <w:szCs w:val="20"/>
        </w:rPr>
      </w:pPr>
      <w:r w:rsidRPr="00554716">
        <w:rPr>
          <w:rFonts w:cstheme="minorHAnsi"/>
          <w:b/>
          <w:bCs/>
          <w:sz w:val="20"/>
          <w:szCs w:val="20"/>
        </w:rPr>
        <w:t>Il Sistema Produttivo Culturale e Creativo della Liguria produce 2 miliardi di euro di valore aggiunto e oltre 30 mila occupati. Su scala provinciale, Genova è la prima provincia della regione con 1.440 milioni di valore aggiunto 20.733 occupati; seguono Savona con 244 milioni di valore aggiunto e 3.456 occupati; La Spezia con 229 milioni di valore aggiunto e 3.635 occupati; Imperia con 130 milioni di valore aggiunto e 2.250 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w:t>
      </w:r>
      <w:r w:rsidR="00EB55E8" w:rsidRPr="00270BE3">
        <w:rPr>
          <w:rFonts w:eastAsia="Times New Roman" w:cstheme="minorHAnsi"/>
          <w:sz w:val="20"/>
          <w:szCs w:val="20"/>
          <w:lang w:eastAsia="it-IT"/>
        </w:rPr>
        <w:lastRenderedPageBreak/>
        <w:t>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circolare e biotecnologie avanzate si incontrano e si fondono. Anche il patrimonio storico-artistico si interroga sulle </w:t>
      </w:r>
      <w:r w:rsidRPr="00270BE3">
        <w:rPr>
          <w:rFonts w:cstheme="minorHAnsi"/>
          <w:sz w:val="20"/>
          <w:szCs w:val="20"/>
        </w:rPr>
        <w:lastRenderedPageBreak/>
        <w:t>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7C1145" w:rsidRDefault="001D0817" w:rsidP="001D0817">
      <w:pPr>
        <w:spacing w:before="480" w:after="0"/>
        <w:jc w:val="both"/>
        <w:rPr>
          <w:rFonts w:eastAsia="Times New Roman" w:cstheme="minorHAnsi"/>
          <w:b/>
          <w:sz w:val="24"/>
          <w:szCs w:val="24"/>
          <w:lang w:eastAsia="it-IT"/>
        </w:rPr>
      </w:pPr>
      <w:r w:rsidRPr="007C1145">
        <w:rPr>
          <w:rFonts w:eastAsia="Times New Roman" w:cstheme="minorHAnsi"/>
          <w:b/>
          <w:sz w:val="24"/>
          <w:szCs w:val="24"/>
          <w:lang w:eastAsia="it-IT"/>
        </w:rPr>
        <w:t>Prime province per peso del Sistema Produttivo Culturale e Creativo</w:t>
      </w:r>
    </w:p>
    <w:p w14:paraId="63C7BD7E" w14:textId="77777777" w:rsidR="001D0817" w:rsidRPr="007C1145" w:rsidRDefault="001D0817" w:rsidP="001D0817">
      <w:pPr>
        <w:spacing w:after="0"/>
        <w:jc w:val="both"/>
        <w:rPr>
          <w:rFonts w:eastAsia="Times New Roman" w:cstheme="minorHAnsi"/>
          <w:lang w:eastAsia="it-IT"/>
        </w:rPr>
      </w:pPr>
      <w:r w:rsidRPr="007C1145">
        <w:rPr>
          <w:rFonts w:eastAsia="Times New Roman" w:cstheme="minorHAnsi"/>
          <w:lang w:eastAsia="it-IT"/>
        </w:rPr>
        <w:t>Anno 2025 (incidenze percentuali sul totale economia provinciale)</w:t>
      </w:r>
    </w:p>
    <w:p w14:paraId="00BD837D" w14:textId="77777777" w:rsidR="001D0817" w:rsidRPr="007C1145" w:rsidRDefault="001D0817" w:rsidP="001D0817">
      <w:pPr>
        <w:spacing w:before="120" w:after="0"/>
        <w:jc w:val="both"/>
        <w:rPr>
          <w:rFonts w:eastAsia="Times New Roman" w:cstheme="minorHAnsi"/>
          <w:sz w:val="18"/>
          <w:lang w:eastAsia="it-IT"/>
        </w:rPr>
      </w:pPr>
      <w:r w:rsidRPr="007C1145">
        <w:rPr>
          <w:noProof/>
        </w:rPr>
        <w:drawing>
          <wp:inline distT="0" distB="0" distL="0" distR="0" wp14:anchorId="5945E019" wp14:editId="68B2F9B4">
            <wp:extent cx="3009600" cy="4172400"/>
            <wp:effectExtent l="0" t="0" r="635" b="0"/>
            <wp:docPr id="102712614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r="52936"/>
                    <a:stretch>
                      <a:fillRect/>
                    </a:stretch>
                  </pic:blipFill>
                  <pic:spPr bwMode="auto">
                    <a:xfrm>
                      <a:off x="0" y="0"/>
                      <a:ext cx="3009600" cy="4172400"/>
                    </a:xfrm>
                    <a:prstGeom prst="rect">
                      <a:avLst/>
                    </a:prstGeom>
                    <a:noFill/>
                    <a:ln>
                      <a:noFill/>
                    </a:ln>
                    <a:extLst>
                      <a:ext uri="{53640926-AAD7-44D8-BBD7-CCE9431645EC}">
                        <a14:shadowObscured xmlns:a14="http://schemas.microsoft.com/office/drawing/2010/main"/>
                      </a:ext>
                    </a:extLst>
                  </pic:spPr>
                </pic:pic>
              </a:graphicData>
            </a:graphic>
          </wp:inline>
        </w:drawing>
      </w:r>
      <w:r w:rsidRPr="007C1145">
        <w:rPr>
          <w:noProof/>
        </w:rPr>
        <w:drawing>
          <wp:inline distT="0" distB="0" distL="0" distR="0" wp14:anchorId="35225F15" wp14:editId="02A689AA">
            <wp:extent cx="3020400" cy="4172400"/>
            <wp:effectExtent l="0" t="0" r="8890" b="0"/>
            <wp:docPr id="749541953"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a:extLst>
                        <a:ext uri="{28A0092B-C50C-407E-A947-70E740481C1C}">
                          <a14:useLocalDpi xmlns:a14="http://schemas.microsoft.com/office/drawing/2010/main" val="0"/>
                        </a:ext>
                      </a:extLst>
                    </a:blip>
                    <a:srcRect r="52812"/>
                    <a:stretch>
                      <a:fillRect/>
                    </a:stretch>
                  </pic:blipFill>
                  <pic:spPr bwMode="auto">
                    <a:xfrm>
                      <a:off x="0" y="0"/>
                      <a:ext cx="3020400" cy="4172400"/>
                    </a:xfrm>
                    <a:prstGeom prst="rect">
                      <a:avLst/>
                    </a:prstGeom>
                    <a:noFill/>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7C1145">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2593C11D"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8D29F8">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9"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4ADE3" w14:textId="77777777" w:rsidR="00D83B29" w:rsidRDefault="00D83B29" w:rsidP="00CE6BE8">
      <w:pPr>
        <w:spacing w:after="0" w:line="240" w:lineRule="auto"/>
      </w:pPr>
      <w:r>
        <w:separator/>
      </w:r>
    </w:p>
  </w:endnote>
  <w:endnote w:type="continuationSeparator" w:id="0">
    <w:p w14:paraId="41135A58" w14:textId="77777777" w:rsidR="00D83B29" w:rsidRDefault="00D83B29"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2543" w14:textId="77777777" w:rsidR="00D83B29" w:rsidRDefault="00D83B29" w:rsidP="00CE6BE8">
      <w:pPr>
        <w:spacing w:after="0" w:line="240" w:lineRule="auto"/>
      </w:pPr>
      <w:r>
        <w:separator/>
      </w:r>
    </w:p>
  </w:footnote>
  <w:footnote w:type="continuationSeparator" w:id="0">
    <w:p w14:paraId="0066C938" w14:textId="77777777" w:rsidR="00D83B29" w:rsidRDefault="00D83B29"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64F"/>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0279B"/>
    <w:rsid w:val="00313B37"/>
    <w:rsid w:val="0032061A"/>
    <w:rsid w:val="0032148E"/>
    <w:rsid w:val="00323350"/>
    <w:rsid w:val="00325625"/>
    <w:rsid w:val="00326701"/>
    <w:rsid w:val="00327574"/>
    <w:rsid w:val="0033493B"/>
    <w:rsid w:val="00335D10"/>
    <w:rsid w:val="00336841"/>
    <w:rsid w:val="00336E2F"/>
    <w:rsid w:val="00337A23"/>
    <w:rsid w:val="00347362"/>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54716"/>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29F8"/>
    <w:rsid w:val="008D3B5D"/>
    <w:rsid w:val="008D4C0F"/>
    <w:rsid w:val="008D68EE"/>
    <w:rsid w:val="008E03D3"/>
    <w:rsid w:val="008E6254"/>
    <w:rsid w:val="008F2345"/>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33C0"/>
    <w:rsid w:val="00C14AAE"/>
    <w:rsid w:val="00C16305"/>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3B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ymbola.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4448</Words>
  <Characters>25358</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cp:lastPrinted>2026-07-09T13:55:00Z</cp:lastPrinted>
  <dcterms:created xsi:type="dcterms:W3CDTF">2026-07-10T08:24:00Z</dcterms:created>
  <dcterms:modified xsi:type="dcterms:W3CDTF">2026-07-13T08:52:00Z</dcterms:modified>
</cp:coreProperties>
</file>