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ADCE" w14:textId="77777777" w:rsidR="002C5116" w:rsidRDefault="002C5116" w:rsidP="00D4226B">
      <w:pPr>
        <w:spacing w:line="240" w:lineRule="auto"/>
        <w:rPr>
          <w:rFonts w:ascii="Arial" w:eastAsia="Times New Roman" w:hAnsi="Arial" w:cs="Arial"/>
          <w:b/>
          <w:bCs/>
          <w:sz w:val="16"/>
          <w:szCs w:val="16"/>
          <w:u w:val="single"/>
          <w:lang w:eastAsia="it-IT"/>
        </w:rPr>
      </w:pPr>
    </w:p>
    <w:p w14:paraId="4D8E9F76" w14:textId="477E71BA" w:rsidR="002C5116" w:rsidRPr="00270BE3" w:rsidRDefault="002C5116" w:rsidP="002C5116">
      <w:pPr>
        <w:spacing w:line="240" w:lineRule="auto"/>
        <w:jc w:val="center"/>
        <w:rPr>
          <w:rFonts w:eastAsia="Times New Roman" w:cstheme="minorHAnsi"/>
          <w:b/>
          <w:bCs/>
          <w:sz w:val="16"/>
          <w:szCs w:val="16"/>
          <w:u w:val="single"/>
          <w:lang w:eastAsia="it-IT"/>
        </w:rPr>
      </w:pPr>
      <w:r w:rsidRPr="00270BE3">
        <w:rPr>
          <w:rFonts w:eastAsia="Times New Roman" w:cstheme="minorHAnsi"/>
          <w:b/>
          <w:bCs/>
          <w:sz w:val="16"/>
          <w:szCs w:val="16"/>
          <w:u w:val="single"/>
          <w:lang w:eastAsia="it-IT"/>
        </w:rPr>
        <w:t>COMUNICATO STAMPA</w:t>
      </w:r>
      <w:r w:rsidR="000964CC">
        <w:rPr>
          <w:rFonts w:eastAsia="Times New Roman" w:cstheme="minorHAnsi"/>
          <w:b/>
          <w:bCs/>
          <w:sz w:val="16"/>
          <w:szCs w:val="16"/>
          <w:u w:val="single"/>
          <w:lang w:eastAsia="it-IT"/>
        </w:rPr>
        <w:t xml:space="preserve"> UMBRIA</w:t>
      </w:r>
    </w:p>
    <w:p w14:paraId="738853B9" w14:textId="77777777" w:rsidR="002C5116" w:rsidRPr="00270BE3" w:rsidRDefault="002C5116" w:rsidP="00CF4AA5">
      <w:pPr>
        <w:spacing w:line="240" w:lineRule="auto"/>
        <w:jc w:val="center"/>
        <w:rPr>
          <w:rFonts w:cstheme="minorHAnsi"/>
          <w:b/>
          <w:bCs/>
          <w:sz w:val="16"/>
          <w:szCs w:val="16"/>
        </w:rPr>
      </w:pPr>
    </w:p>
    <w:p w14:paraId="5000C296" w14:textId="727BFCF5" w:rsidR="002C5116" w:rsidRPr="00270BE3" w:rsidRDefault="002C5116" w:rsidP="00CF4AA5">
      <w:pPr>
        <w:spacing w:line="240" w:lineRule="auto"/>
        <w:jc w:val="center"/>
        <w:rPr>
          <w:rFonts w:eastAsia="AktivGrotesk-Regular" w:cstheme="minorHAnsi"/>
          <w:b/>
          <w:bCs/>
          <w:i/>
          <w:iCs/>
          <w:sz w:val="16"/>
          <w:szCs w:val="16"/>
        </w:rPr>
      </w:pPr>
      <w:r w:rsidRPr="00270BE3">
        <w:rPr>
          <w:rFonts w:eastAsia="AktivGrotesk-Regular" w:cstheme="minorHAnsi"/>
          <w:b/>
          <w:bCs/>
          <w:i/>
          <w:iCs/>
          <w:sz w:val="16"/>
          <w:szCs w:val="16"/>
        </w:rPr>
        <w:t>IO SONO CULTURA 202</w:t>
      </w:r>
      <w:r w:rsidR="000D081C" w:rsidRPr="00270BE3">
        <w:rPr>
          <w:rFonts w:eastAsia="AktivGrotesk-Regular" w:cstheme="minorHAnsi"/>
          <w:b/>
          <w:bCs/>
          <w:i/>
          <w:iCs/>
          <w:sz w:val="16"/>
          <w:szCs w:val="16"/>
        </w:rPr>
        <w:t>6</w:t>
      </w:r>
      <w:r w:rsidRPr="00270BE3">
        <w:rPr>
          <w:rFonts w:eastAsia="AktivGrotesk-Regular" w:cstheme="minorHAnsi"/>
          <w:b/>
          <w:bCs/>
          <w:i/>
          <w:iCs/>
          <w:sz w:val="16"/>
          <w:szCs w:val="16"/>
        </w:rPr>
        <w:t>, IL RAPPORTO ANNUALE DI FONDAZIONE SYMBOL</w:t>
      </w:r>
      <w:r w:rsidR="00F92F63" w:rsidRPr="00270BE3">
        <w:rPr>
          <w:rFonts w:eastAsia="AktivGrotesk-Regular" w:cstheme="minorHAnsi"/>
          <w:b/>
          <w:bCs/>
          <w:i/>
          <w:iCs/>
          <w:sz w:val="16"/>
          <w:szCs w:val="16"/>
        </w:rPr>
        <w:t xml:space="preserve">A, </w:t>
      </w:r>
      <w:r w:rsidRPr="00270BE3">
        <w:rPr>
          <w:rFonts w:eastAsia="AktivGrotesk-Regular" w:cstheme="minorHAnsi"/>
          <w:b/>
          <w:bCs/>
          <w:i/>
          <w:iCs/>
          <w:sz w:val="16"/>
          <w:szCs w:val="16"/>
        </w:rPr>
        <w:t>UNIONCAMERE</w:t>
      </w:r>
      <w:r w:rsidR="00F92F63" w:rsidRPr="00270BE3">
        <w:rPr>
          <w:rFonts w:eastAsia="AktivGrotesk-Regular" w:cstheme="minorHAnsi"/>
          <w:b/>
          <w:bCs/>
          <w:i/>
          <w:iCs/>
          <w:sz w:val="16"/>
          <w:szCs w:val="16"/>
        </w:rPr>
        <w:t>, CENTRO STUDI TAGLIACARNE</w:t>
      </w:r>
      <w:r w:rsidR="004D27C8" w:rsidRPr="00270BE3">
        <w:rPr>
          <w:rFonts w:eastAsia="AktivGrotesk-Regular" w:cstheme="minorHAnsi"/>
          <w:b/>
          <w:bCs/>
          <w:i/>
          <w:iCs/>
          <w:sz w:val="16"/>
          <w:szCs w:val="16"/>
        </w:rPr>
        <w:t xml:space="preserve"> E </w:t>
      </w:r>
      <w:r w:rsidR="00F92F63" w:rsidRPr="00270BE3">
        <w:rPr>
          <w:rFonts w:eastAsia="AktivGrotesk-Regular" w:cstheme="minorHAnsi"/>
          <w:b/>
          <w:bCs/>
          <w:i/>
          <w:iCs/>
          <w:sz w:val="16"/>
          <w:szCs w:val="16"/>
        </w:rPr>
        <w:t>DELOITTE</w:t>
      </w:r>
    </w:p>
    <w:p w14:paraId="561383B3"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363BB638" w14:textId="0F762C26" w:rsidR="00BA377D" w:rsidRPr="00270BE3" w:rsidRDefault="00BA377D"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NEL 202</w:t>
      </w:r>
      <w:r w:rsidR="000D081C" w:rsidRPr="00270BE3">
        <w:rPr>
          <w:rFonts w:cstheme="minorHAnsi"/>
          <w:b/>
          <w:bCs/>
          <w:sz w:val="16"/>
          <w:szCs w:val="16"/>
        </w:rPr>
        <w:t>5</w:t>
      </w:r>
      <w:r w:rsidRPr="00270BE3">
        <w:rPr>
          <w:rFonts w:cstheme="minorHAnsi"/>
          <w:b/>
          <w:bCs/>
          <w:sz w:val="16"/>
          <w:szCs w:val="16"/>
        </w:rPr>
        <w:t xml:space="preserve"> CRE</w:t>
      </w:r>
      <w:r w:rsidR="00965B33" w:rsidRPr="00270BE3">
        <w:rPr>
          <w:rFonts w:cstheme="minorHAnsi"/>
          <w:b/>
          <w:bCs/>
          <w:sz w:val="16"/>
          <w:szCs w:val="16"/>
        </w:rPr>
        <w:t>S</w:t>
      </w:r>
      <w:r w:rsidRPr="00270BE3">
        <w:rPr>
          <w:rFonts w:cstheme="minorHAnsi"/>
          <w:b/>
          <w:bCs/>
          <w:sz w:val="16"/>
          <w:szCs w:val="16"/>
        </w:rPr>
        <w:t xml:space="preserve">CONO VALORE AGGIUNTO E OCCUPAZIONE NEL </w:t>
      </w:r>
      <w:r w:rsidR="002C5116" w:rsidRPr="00270BE3">
        <w:rPr>
          <w:rFonts w:cstheme="minorHAnsi"/>
          <w:b/>
          <w:bCs/>
          <w:sz w:val="16"/>
          <w:szCs w:val="16"/>
        </w:rPr>
        <w:t>SISTEMA PRODUTTIVO CULTURALE E CREATIVO</w:t>
      </w:r>
      <w:r w:rsidRPr="00270BE3">
        <w:rPr>
          <w:rFonts w:cstheme="minorHAnsi"/>
          <w:b/>
          <w:bCs/>
          <w:sz w:val="16"/>
          <w:szCs w:val="16"/>
        </w:rPr>
        <w:t xml:space="preserve">, </w:t>
      </w:r>
      <w:r w:rsidR="00965B33" w:rsidRPr="00270BE3">
        <w:rPr>
          <w:rFonts w:cstheme="minorHAnsi"/>
          <w:b/>
          <w:bCs/>
          <w:sz w:val="16"/>
          <w:szCs w:val="16"/>
        </w:rPr>
        <w:t xml:space="preserve">RISPETTIVAMENTE </w:t>
      </w:r>
      <w:r w:rsidR="00BC37FA" w:rsidRPr="00270BE3">
        <w:rPr>
          <w:rFonts w:cstheme="minorHAnsi"/>
          <w:b/>
          <w:bCs/>
          <w:sz w:val="16"/>
          <w:szCs w:val="16"/>
        </w:rPr>
        <w:t>115,8</w:t>
      </w:r>
      <w:r w:rsidRPr="00270BE3">
        <w:rPr>
          <w:rFonts w:cstheme="minorHAnsi"/>
          <w:b/>
          <w:bCs/>
          <w:sz w:val="16"/>
          <w:szCs w:val="16"/>
        </w:rPr>
        <w:t xml:space="preserve"> MILIARDI DI EURO</w:t>
      </w:r>
      <w:r w:rsidR="00BC37FA" w:rsidRPr="00270BE3">
        <w:rPr>
          <w:rFonts w:cstheme="minorHAnsi"/>
          <w:b/>
          <w:bCs/>
          <w:sz w:val="16"/>
          <w:szCs w:val="16"/>
        </w:rPr>
        <w:t xml:space="preserve"> (+3,3% RISPETTO AL 2024) </w:t>
      </w:r>
      <w:r w:rsidR="005E17C8" w:rsidRPr="00270BE3">
        <w:rPr>
          <w:rFonts w:cstheme="minorHAnsi"/>
          <w:b/>
          <w:bCs/>
          <w:sz w:val="16"/>
          <w:szCs w:val="16"/>
        </w:rPr>
        <w:t>E</w:t>
      </w:r>
      <w:r w:rsidRPr="00270BE3">
        <w:rPr>
          <w:rFonts w:cstheme="minorHAnsi"/>
          <w:b/>
          <w:bCs/>
          <w:sz w:val="16"/>
          <w:szCs w:val="16"/>
        </w:rPr>
        <w:t xml:space="preserve"> 1,5 MILIONI DI ADDETTI </w:t>
      </w:r>
      <w:r w:rsidR="002553AB" w:rsidRPr="00270BE3">
        <w:rPr>
          <w:rFonts w:cstheme="minorHAnsi"/>
          <w:b/>
          <w:bCs/>
          <w:sz w:val="16"/>
          <w:szCs w:val="16"/>
        </w:rPr>
        <w:t>(5,7% DELL’OCCUPAZIONE COMPLESSIVA DEL PAESE)</w:t>
      </w:r>
    </w:p>
    <w:p w14:paraId="1A333EC4"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630B9094" w14:textId="77777777" w:rsidR="00A14F71" w:rsidRPr="00270BE3" w:rsidRDefault="00A14F71" w:rsidP="00CF4AA5">
      <w:pPr>
        <w:autoSpaceDE w:val="0"/>
        <w:autoSpaceDN w:val="0"/>
        <w:adjustRightInd w:val="0"/>
        <w:spacing w:after="0" w:line="240" w:lineRule="auto"/>
        <w:jc w:val="center"/>
        <w:rPr>
          <w:rFonts w:cstheme="minorHAnsi"/>
          <w:b/>
          <w:bCs/>
          <w:sz w:val="16"/>
          <w:szCs w:val="16"/>
        </w:rPr>
      </w:pPr>
    </w:p>
    <w:p w14:paraId="640181E0" w14:textId="05EC1F79" w:rsidR="00A14F71" w:rsidRDefault="00A14F71"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 xml:space="preserve">CULTURA E CREATIVITÀ, </w:t>
      </w:r>
      <w:r w:rsidR="00127FDC" w:rsidRPr="00270BE3">
        <w:rPr>
          <w:rFonts w:cstheme="minorHAnsi"/>
          <w:b/>
          <w:bCs/>
          <w:sz w:val="16"/>
          <w:szCs w:val="16"/>
        </w:rPr>
        <w:t>DIRETTAMENTE O INDIRETTAMENTE</w:t>
      </w:r>
      <w:r w:rsidRPr="00270BE3">
        <w:rPr>
          <w:rFonts w:cstheme="minorHAnsi"/>
          <w:b/>
          <w:bCs/>
          <w:sz w:val="16"/>
          <w:szCs w:val="16"/>
        </w:rPr>
        <w:t xml:space="preserve">, GENERANO COMPLESSIVAMENTE UN VALORE AGGIUNTO PER CIRCA </w:t>
      </w:r>
      <w:r w:rsidR="00376E1F">
        <w:rPr>
          <w:rFonts w:cstheme="minorHAnsi"/>
          <w:b/>
          <w:bCs/>
          <w:sz w:val="16"/>
          <w:szCs w:val="16"/>
        </w:rPr>
        <w:t>310</w:t>
      </w:r>
      <w:r w:rsidRPr="00270BE3">
        <w:rPr>
          <w:rFonts w:cstheme="minorHAnsi"/>
          <w:b/>
          <w:bCs/>
          <w:sz w:val="16"/>
          <w:szCs w:val="16"/>
        </w:rPr>
        <w:t xml:space="preserve"> MILIARDI DI EURO </w:t>
      </w:r>
      <w:r w:rsidR="003517F3" w:rsidRPr="00270BE3">
        <w:rPr>
          <w:rFonts w:cstheme="minorHAnsi"/>
          <w:b/>
          <w:bCs/>
          <w:sz w:val="16"/>
          <w:szCs w:val="16"/>
        </w:rPr>
        <w:t>EQUIVALENTI AL 15,</w:t>
      </w:r>
      <w:r w:rsidR="002553AB" w:rsidRPr="00270BE3">
        <w:rPr>
          <w:rFonts w:cstheme="minorHAnsi"/>
          <w:b/>
          <w:bCs/>
          <w:sz w:val="16"/>
          <w:szCs w:val="16"/>
        </w:rPr>
        <w:t>4</w:t>
      </w:r>
      <w:r w:rsidR="003517F3" w:rsidRPr="00270BE3">
        <w:rPr>
          <w:rFonts w:cstheme="minorHAnsi"/>
          <w:b/>
          <w:bCs/>
          <w:sz w:val="16"/>
          <w:szCs w:val="16"/>
        </w:rPr>
        <w:t>% DELLA RICCHEZZA COMPLESSIVA DEL PAESE</w:t>
      </w:r>
    </w:p>
    <w:p w14:paraId="087D23A3" w14:textId="77777777" w:rsidR="000964CC" w:rsidRPr="00270BE3" w:rsidRDefault="000964CC" w:rsidP="00CF4AA5">
      <w:pPr>
        <w:autoSpaceDE w:val="0"/>
        <w:autoSpaceDN w:val="0"/>
        <w:adjustRightInd w:val="0"/>
        <w:spacing w:after="0" w:line="240" w:lineRule="auto"/>
        <w:jc w:val="center"/>
        <w:rPr>
          <w:rFonts w:cstheme="minorHAnsi"/>
          <w:b/>
          <w:bCs/>
          <w:sz w:val="16"/>
          <w:szCs w:val="16"/>
        </w:rPr>
      </w:pPr>
    </w:p>
    <w:p w14:paraId="6BC0D3A3" w14:textId="18FA7E8D" w:rsidR="00A14F71" w:rsidRPr="00270BE3" w:rsidRDefault="000964CC" w:rsidP="00CF4AA5">
      <w:pPr>
        <w:autoSpaceDE w:val="0"/>
        <w:autoSpaceDN w:val="0"/>
        <w:adjustRightInd w:val="0"/>
        <w:spacing w:after="0" w:line="240" w:lineRule="auto"/>
        <w:jc w:val="center"/>
        <w:rPr>
          <w:rFonts w:cstheme="minorHAnsi"/>
          <w:b/>
          <w:bCs/>
          <w:sz w:val="16"/>
          <w:szCs w:val="16"/>
        </w:rPr>
      </w:pPr>
      <w:r w:rsidRPr="000964CC">
        <w:rPr>
          <w:rFonts w:cstheme="minorHAnsi"/>
          <w:b/>
          <w:bCs/>
          <w:sz w:val="16"/>
          <w:szCs w:val="16"/>
        </w:rPr>
        <w:t>IL SISTEMA PRODUTTIVO CULTURALE E CREATIVO DELL’UMBRIA PRODUCE 1 MILIONE DI VALORE AGGIUNTO E 19.081 OCCUPATI</w:t>
      </w:r>
    </w:p>
    <w:p w14:paraId="40FD7924" w14:textId="77777777" w:rsidR="00A14F71" w:rsidRPr="00270BE3" w:rsidRDefault="00A14F71" w:rsidP="00CF4AA5">
      <w:pPr>
        <w:autoSpaceDE w:val="0"/>
        <w:autoSpaceDN w:val="0"/>
        <w:adjustRightInd w:val="0"/>
        <w:spacing w:after="0" w:line="240" w:lineRule="auto"/>
        <w:jc w:val="center"/>
        <w:rPr>
          <w:rFonts w:cstheme="minorHAnsi"/>
          <w:b/>
          <w:bCs/>
          <w:sz w:val="16"/>
          <w:szCs w:val="16"/>
        </w:rPr>
      </w:pPr>
    </w:p>
    <w:p w14:paraId="2C23F895" w14:textId="19A4398B" w:rsidR="00233764" w:rsidRPr="00270BE3" w:rsidRDefault="00233764" w:rsidP="00CF4AA5">
      <w:pPr>
        <w:autoSpaceDE w:val="0"/>
        <w:autoSpaceDN w:val="0"/>
        <w:adjustRightInd w:val="0"/>
        <w:spacing w:after="0" w:line="240" w:lineRule="auto"/>
        <w:jc w:val="center"/>
        <w:rPr>
          <w:rFonts w:eastAsia="Times New Roman" w:cstheme="minorHAnsi"/>
          <w:b/>
          <w:bCs/>
          <w:sz w:val="16"/>
          <w:szCs w:val="16"/>
          <w:lang w:eastAsia="it-IT"/>
        </w:rPr>
      </w:pPr>
      <w:r w:rsidRPr="00270BE3">
        <w:rPr>
          <w:rFonts w:eastAsia="Times New Roman" w:cstheme="minorHAnsi"/>
          <w:b/>
          <w:bCs/>
          <w:sz w:val="16"/>
          <w:szCs w:val="16"/>
          <w:lang w:eastAsia="it-IT"/>
        </w:rPr>
        <w:t>IL COMPARTO DEI SOFTWARE</w:t>
      </w:r>
      <w:r w:rsidR="00575B67" w:rsidRPr="00270BE3">
        <w:rPr>
          <w:rFonts w:eastAsia="Times New Roman" w:cstheme="minorHAnsi"/>
          <w:b/>
          <w:bCs/>
          <w:sz w:val="16"/>
          <w:szCs w:val="16"/>
          <w:lang w:eastAsia="it-IT"/>
        </w:rPr>
        <w:t xml:space="preserve"> E VIDEOGIOCHI</w:t>
      </w:r>
      <w:r w:rsidRPr="00270BE3">
        <w:rPr>
          <w:rFonts w:eastAsia="Times New Roman" w:cstheme="minorHAnsi"/>
          <w:b/>
          <w:bCs/>
          <w:sz w:val="16"/>
          <w:szCs w:val="16"/>
          <w:lang w:eastAsia="it-IT"/>
        </w:rPr>
        <w:t xml:space="preserve"> È QUELLO CHE CONTRIBUISCE MAGGIORMENTE ALLA RICCHEZZA DELLA FILIERA CON </w:t>
      </w:r>
      <w:r w:rsidR="007A58E5" w:rsidRPr="00270BE3">
        <w:rPr>
          <w:rFonts w:eastAsia="Times New Roman" w:cstheme="minorHAnsi"/>
          <w:b/>
          <w:bCs/>
          <w:sz w:val="16"/>
          <w:szCs w:val="16"/>
          <w:lang w:eastAsia="it-IT"/>
        </w:rPr>
        <w:t>1</w:t>
      </w:r>
      <w:r w:rsidR="00696378" w:rsidRPr="00270BE3">
        <w:rPr>
          <w:rFonts w:eastAsia="Times New Roman" w:cstheme="minorHAnsi"/>
          <w:b/>
          <w:bCs/>
          <w:sz w:val="16"/>
          <w:szCs w:val="16"/>
          <w:lang w:eastAsia="it-IT"/>
        </w:rPr>
        <w:t>8,6</w:t>
      </w:r>
      <w:r w:rsidRPr="00270BE3">
        <w:rPr>
          <w:rFonts w:eastAsia="Times New Roman" w:cstheme="minorHAnsi"/>
          <w:b/>
          <w:bCs/>
          <w:sz w:val="16"/>
          <w:szCs w:val="16"/>
          <w:lang w:eastAsia="it-IT"/>
        </w:rPr>
        <w:t xml:space="preserve"> MILIARDI DI EURO DI VALORE AGGIUNTO</w:t>
      </w:r>
    </w:p>
    <w:p w14:paraId="3AFBA4D1"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3D137ACD" w14:textId="5A7B1B69" w:rsidR="004D27C8" w:rsidRPr="00270BE3" w:rsidRDefault="004D27C8"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LOMBARDIA E LAZIO</w:t>
      </w:r>
      <w:r w:rsidR="00127FDC" w:rsidRPr="00270BE3">
        <w:rPr>
          <w:rFonts w:cstheme="minorHAnsi"/>
          <w:b/>
          <w:bCs/>
          <w:sz w:val="16"/>
          <w:szCs w:val="16"/>
        </w:rPr>
        <w:t>,</w:t>
      </w:r>
      <w:r w:rsidRPr="00270BE3">
        <w:rPr>
          <w:rFonts w:cstheme="minorHAnsi"/>
          <w:b/>
          <w:bCs/>
          <w:sz w:val="16"/>
          <w:szCs w:val="16"/>
        </w:rPr>
        <w:t xml:space="preserve"> REGIONI CHE PRODUCONO PIÙ RICCHEZZA CON LA CULTURA, </w:t>
      </w:r>
      <w:r w:rsidR="0092685F">
        <w:rPr>
          <w:rFonts w:cstheme="minorHAnsi"/>
          <w:b/>
          <w:bCs/>
          <w:sz w:val="16"/>
          <w:szCs w:val="16"/>
        </w:rPr>
        <w:t>MOLISE</w:t>
      </w:r>
      <w:r w:rsidR="00183B97">
        <w:rPr>
          <w:rFonts w:cstheme="minorHAnsi"/>
          <w:b/>
          <w:bCs/>
          <w:sz w:val="16"/>
          <w:szCs w:val="16"/>
        </w:rPr>
        <w:t>, BASILICATA</w:t>
      </w:r>
      <w:r w:rsidR="00C12FBD">
        <w:rPr>
          <w:rFonts w:cstheme="minorHAnsi"/>
          <w:b/>
          <w:bCs/>
          <w:sz w:val="16"/>
          <w:szCs w:val="16"/>
        </w:rPr>
        <w:t xml:space="preserve"> </w:t>
      </w:r>
      <w:r w:rsidR="0092685F">
        <w:rPr>
          <w:rFonts w:cstheme="minorHAnsi"/>
          <w:b/>
          <w:bCs/>
          <w:sz w:val="16"/>
          <w:szCs w:val="16"/>
        </w:rPr>
        <w:t>E CAMPANIA</w:t>
      </w:r>
      <w:r w:rsidRPr="00270BE3">
        <w:rPr>
          <w:rFonts w:cstheme="minorHAnsi"/>
          <w:b/>
          <w:bCs/>
          <w:sz w:val="16"/>
          <w:szCs w:val="16"/>
        </w:rPr>
        <w:t xml:space="preserve"> LE REGIONI CON LA CRESCITA PI</w:t>
      </w:r>
      <w:r w:rsidR="009A2EC7" w:rsidRPr="00270BE3">
        <w:rPr>
          <w:rFonts w:cstheme="minorHAnsi"/>
          <w:b/>
          <w:bCs/>
          <w:sz w:val="16"/>
          <w:szCs w:val="16"/>
        </w:rPr>
        <w:t>Ù</w:t>
      </w:r>
      <w:r w:rsidR="003517F3" w:rsidRPr="00270BE3">
        <w:rPr>
          <w:rFonts w:cstheme="minorHAnsi"/>
          <w:b/>
          <w:bCs/>
          <w:sz w:val="16"/>
          <w:szCs w:val="16"/>
        </w:rPr>
        <w:t xml:space="preserve"> </w:t>
      </w:r>
      <w:r w:rsidRPr="00270BE3">
        <w:rPr>
          <w:rFonts w:cstheme="minorHAnsi"/>
          <w:b/>
          <w:bCs/>
          <w:sz w:val="16"/>
          <w:szCs w:val="16"/>
        </w:rPr>
        <w:t>FORTE</w:t>
      </w:r>
    </w:p>
    <w:p w14:paraId="14399103" w14:textId="77777777" w:rsidR="00233764" w:rsidRPr="00270BE3" w:rsidRDefault="00233764" w:rsidP="00CF4AA5">
      <w:pPr>
        <w:autoSpaceDE w:val="0"/>
        <w:autoSpaceDN w:val="0"/>
        <w:adjustRightInd w:val="0"/>
        <w:spacing w:after="0" w:line="240" w:lineRule="auto"/>
        <w:jc w:val="center"/>
        <w:rPr>
          <w:rFonts w:cstheme="minorHAnsi"/>
          <w:b/>
          <w:bCs/>
          <w:sz w:val="16"/>
          <w:szCs w:val="16"/>
        </w:rPr>
      </w:pPr>
    </w:p>
    <w:p w14:paraId="77CEF904" w14:textId="09DB21FC" w:rsidR="002C5116" w:rsidRPr="00270BE3" w:rsidRDefault="002C5116"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MILANO PRIMA PER VALORE AGGIUNTO E OCCUPAZIONE</w:t>
      </w:r>
      <w:r w:rsidR="004D27C8" w:rsidRPr="00270BE3">
        <w:rPr>
          <w:rFonts w:cstheme="minorHAnsi"/>
          <w:b/>
          <w:bCs/>
          <w:sz w:val="16"/>
          <w:szCs w:val="16"/>
        </w:rPr>
        <w:t>, SEGUONO</w:t>
      </w:r>
      <w:r w:rsidRPr="00270BE3">
        <w:rPr>
          <w:rFonts w:cstheme="minorHAnsi"/>
          <w:b/>
          <w:bCs/>
          <w:sz w:val="16"/>
          <w:szCs w:val="16"/>
        </w:rPr>
        <w:t xml:space="preserve"> ROMA, TORINO, </w:t>
      </w:r>
      <w:r w:rsidR="001A0F21" w:rsidRPr="00270BE3">
        <w:rPr>
          <w:rFonts w:cstheme="minorHAnsi"/>
          <w:b/>
          <w:bCs/>
          <w:sz w:val="16"/>
          <w:szCs w:val="16"/>
        </w:rPr>
        <w:t>AREZZO, FIRENZE</w:t>
      </w:r>
      <w:r w:rsidR="0092685F">
        <w:rPr>
          <w:rFonts w:cstheme="minorHAnsi"/>
          <w:b/>
          <w:bCs/>
          <w:sz w:val="16"/>
          <w:szCs w:val="16"/>
        </w:rPr>
        <w:t xml:space="preserve"> </w:t>
      </w:r>
      <w:r w:rsidRPr="00270BE3">
        <w:rPr>
          <w:rFonts w:cstheme="minorHAnsi"/>
          <w:b/>
          <w:bCs/>
          <w:sz w:val="16"/>
          <w:szCs w:val="16"/>
        </w:rPr>
        <w:t>NELLA TOP</w:t>
      </w:r>
      <w:r w:rsidR="0092685F">
        <w:rPr>
          <w:rFonts w:cstheme="minorHAnsi"/>
          <w:b/>
          <w:bCs/>
          <w:sz w:val="16"/>
          <w:szCs w:val="16"/>
        </w:rPr>
        <w:t xml:space="preserve"> FIVE</w:t>
      </w:r>
      <w:r w:rsidRPr="00270BE3">
        <w:rPr>
          <w:rFonts w:cstheme="minorHAnsi"/>
          <w:b/>
          <w:bCs/>
          <w:sz w:val="16"/>
          <w:szCs w:val="16"/>
        </w:rPr>
        <w:t xml:space="preserve"> </w:t>
      </w:r>
      <w:r w:rsidR="00A422FA" w:rsidRPr="00270BE3">
        <w:rPr>
          <w:rFonts w:cstheme="minorHAnsi"/>
          <w:b/>
          <w:bCs/>
          <w:sz w:val="16"/>
          <w:szCs w:val="16"/>
        </w:rPr>
        <w:t>DELLE PROVINCE</w:t>
      </w:r>
    </w:p>
    <w:p w14:paraId="0EF81DF6" w14:textId="77777777" w:rsidR="003B28BF" w:rsidRPr="00270BE3" w:rsidRDefault="003B28BF" w:rsidP="00CF4AA5">
      <w:pPr>
        <w:autoSpaceDE w:val="0"/>
        <w:autoSpaceDN w:val="0"/>
        <w:adjustRightInd w:val="0"/>
        <w:spacing w:after="0" w:line="240" w:lineRule="auto"/>
        <w:jc w:val="center"/>
        <w:rPr>
          <w:rFonts w:cstheme="minorHAnsi"/>
          <w:b/>
          <w:bCs/>
          <w:sz w:val="16"/>
          <w:szCs w:val="16"/>
        </w:rPr>
      </w:pPr>
    </w:p>
    <w:p w14:paraId="6B0AEB04" w14:textId="1351DC60" w:rsidR="003B28BF" w:rsidRPr="00270BE3" w:rsidRDefault="003B28BF"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SUD ACCELERA: CAMPANIA PRIMA IN ITALIA PER CRESCITA DI IMPRESE CULTURALI (+12,3%), SPCC NEL MEZZOGIORNO OLTRE LA MEDIA NAZIONALE</w:t>
      </w:r>
    </w:p>
    <w:p w14:paraId="5A34146C"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7A0BF05C" w14:textId="77777777" w:rsidR="002C5116" w:rsidRPr="00270BE3" w:rsidRDefault="002C5116" w:rsidP="00CF4AA5">
      <w:pPr>
        <w:autoSpaceDE w:val="0"/>
        <w:autoSpaceDN w:val="0"/>
        <w:adjustRightInd w:val="0"/>
        <w:spacing w:after="0" w:line="240" w:lineRule="auto"/>
        <w:jc w:val="center"/>
        <w:rPr>
          <w:rFonts w:cstheme="minorHAnsi"/>
          <w:b/>
          <w:bCs/>
          <w:sz w:val="16"/>
          <w:szCs w:val="16"/>
        </w:rPr>
      </w:pPr>
    </w:p>
    <w:p w14:paraId="1E1AA558" w14:textId="5980D655" w:rsidR="002C5116" w:rsidRPr="00270BE3" w:rsidRDefault="002C5116" w:rsidP="00CF4AA5">
      <w:pPr>
        <w:autoSpaceDE w:val="0"/>
        <w:autoSpaceDN w:val="0"/>
        <w:adjustRightInd w:val="0"/>
        <w:spacing w:after="0" w:line="240" w:lineRule="auto"/>
        <w:jc w:val="center"/>
        <w:rPr>
          <w:rFonts w:cstheme="minorHAnsi"/>
          <w:b/>
          <w:bCs/>
          <w:sz w:val="16"/>
          <w:szCs w:val="16"/>
        </w:rPr>
      </w:pPr>
      <w:r w:rsidRPr="00270BE3">
        <w:rPr>
          <w:rFonts w:cstheme="minorHAnsi"/>
          <w:b/>
          <w:bCs/>
          <w:sz w:val="16"/>
          <w:szCs w:val="16"/>
        </w:rPr>
        <w:t>IN COPERTINA IL DECORO TEMA E VARIAZIONI N.</w:t>
      </w:r>
      <w:r w:rsidR="009B4FAB" w:rsidRPr="00270BE3">
        <w:rPr>
          <w:rFonts w:cstheme="minorHAnsi"/>
          <w:b/>
          <w:bCs/>
          <w:sz w:val="16"/>
          <w:szCs w:val="16"/>
        </w:rPr>
        <w:t xml:space="preserve"> 403</w:t>
      </w:r>
      <w:r w:rsidRPr="00270BE3">
        <w:rPr>
          <w:rFonts w:cstheme="minorHAnsi"/>
          <w:b/>
          <w:bCs/>
          <w:sz w:val="16"/>
          <w:szCs w:val="16"/>
        </w:rPr>
        <w:t xml:space="preserve"> DI FORNASET</w:t>
      </w:r>
      <w:r w:rsidR="00C730B7" w:rsidRPr="00270BE3">
        <w:rPr>
          <w:rFonts w:cstheme="minorHAnsi"/>
          <w:b/>
          <w:bCs/>
          <w:sz w:val="16"/>
          <w:szCs w:val="16"/>
        </w:rPr>
        <w:t>TI</w:t>
      </w:r>
    </w:p>
    <w:p w14:paraId="7F45E633" w14:textId="77777777" w:rsidR="002C5116" w:rsidRPr="00270BE3" w:rsidRDefault="002C5116" w:rsidP="002C5116">
      <w:pPr>
        <w:autoSpaceDE w:val="0"/>
        <w:autoSpaceDN w:val="0"/>
        <w:adjustRightInd w:val="0"/>
        <w:spacing w:after="0" w:line="240" w:lineRule="auto"/>
        <w:jc w:val="center"/>
        <w:rPr>
          <w:rFonts w:cstheme="minorHAnsi"/>
          <w:b/>
          <w:bCs/>
          <w:sz w:val="16"/>
          <w:szCs w:val="16"/>
        </w:rPr>
      </w:pPr>
    </w:p>
    <w:p w14:paraId="379D2C70" w14:textId="77777777" w:rsidR="002C5116" w:rsidRPr="00270BE3" w:rsidRDefault="002C5116" w:rsidP="002C5116">
      <w:pPr>
        <w:autoSpaceDE w:val="0"/>
        <w:autoSpaceDN w:val="0"/>
        <w:adjustRightInd w:val="0"/>
        <w:spacing w:after="0" w:line="240" w:lineRule="auto"/>
        <w:rPr>
          <w:rFonts w:cstheme="minorHAnsi"/>
          <w:b/>
          <w:bCs/>
          <w:sz w:val="16"/>
          <w:szCs w:val="16"/>
        </w:rPr>
      </w:pPr>
    </w:p>
    <w:p w14:paraId="4D7ACBBC" w14:textId="3D25A994" w:rsidR="00B272E1" w:rsidRPr="00270BE3" w:rsidRDefault="00B272E1" w:rsidP="00B272E1">
      <w:pPr>
        <w:jc w:val="both"/>
        <w:rPr>
          <w:rFonts w:cstheme="minorHAnsi"/>
          <w:b/>
          <w:bCs/>
          <w:sz w:val="16"/>
          <w:szCs w:val="16"/>
        </w:rPr>
      </w:pPr>
      <w:r w:rsidRPr="00270BE3">
        <w:rPr>
          <w:rFonts w:cstheme="minorHAnsi"/>
          <w:b/>
          <w:bCs/>
          <w:sz w:val="16"/>
          <w:szCs w:val="16"/>
        </w:rPr>
        <w:t>REALACCI (FONDAZIONE SYMBOLA): “LA FORZA DELLA NOSTRA ECONOMIA E DEL MADE IN ITALY DEVE MOLTO, IN TUTTI I CAMPI, ALLA CULTURA E ALLA BELLEZZA. PIÙ CHE IN ALTRI PAESI. CULTURA E CREATIVITÀ OLTRE AD ARRICCHIRE LA NOSTRA IDENTITÀ E ALIMENTARE LA DOMANDA DI ITALIA NEL MONDO, POSSONO AIUTARCI AD AFFRONTARE INSIEME, SENZA PAURA, LE DIFFICILI SFIDE CHE ABBIAMO DAVANTI. A PARTIRE DALLA CRISI CLIMATICA. L’ITALIA, FORTE DI OLTRE UN MILIONE E MEZZO DI ADDETTI CULTURALI E CREATIVI PUÒ OFFRIRE UN CONTRIBUTO IMPORTANTE AD UNA TRANSIZIONE VERDE E DIGITALE. SPOSTANDO LE PRODUZIONI VERSO LA QUALITÀ AUMENTA</w:t>
      </w:r>
      <w:r w:rsidR="006D46E7" w:rsidRPr="00270BE3">
        <w:rPr>
          <w:rFonts w:cstheme="minorHAnsi"/>
          <w:b/>
          <w:bCs/>
          <w:sz w:val="16"/>
          <w:szCs w:val="16"/>
        </w:rPr>
        <w:t xml:space="preserve"> INFATTI</w:t>
      </w:r>
      <w:r w:rsidRPr="00270BE3">
        <w:rPr>
          <w:rFonts w:cstheme="minorHAnsi"/>
          <w:b/>
          <w:bCs/>
          <w:sz w:val="16"/>
          <w:szCs w:val="16"/>
        </w:rPr>
        <w:t xml:space="preserve"> IL VALORE</w:t>
      </w:r>
      <w:r w:rsidR="006D46E7" w:rsidRPr="00270BE3">
        <w:rPr>
          <w:rFonts w:cstheme="minorHAnsi"/>
          <w:b/>
          <w:bCs/>
          <w:sz w:val="16"/>
          <w:szCs w:val="16"/>
        </w:rPr>
        <w:t xml:space="preserve"> E</w:t>
      </w:r>
      <w:r w:rsidRPr="00270BE3">
        <w:rPr>
          <w:rFonts w:cstheme="minorHAnsi"/>
          <w:b/>
          <w:bCs/>
          <w:sz w:val="16"/>
          <w:szCs w:val="16"/>
        </w:rPr>
        <w:t xml:space="preserve"> DIMINUISCE IL CONSUMO DI ENERGIA E MATERIE PRIME RIDUCENDO LE EMISSIONI DI CO2</w:t>
      </w:r>
      <w:r w:rsidR="006D46E7" w:rsidRPr="00270BE3">
        <w:rPr>
          <w:rFonts w:cstheme="minorHAnsi"/>
          <w:b/>
          <w:bCs/>
          <w:sz w:val="16"/>
          <w:szCs w:val="16"/>
        </w:rPr>
        <w:t>:</w:t>
      </w:r>
      <w:r w:rsidRPr="00270BE3">
        <w:rPr>
          <w:rFonts w:cstheme="minorHAnsi"/>
          <w:b/>
          <w:bCs/>
          <w:sz w:val="16"/>
          <w:szCs w:val="16"/>
        </w:rPr>
        <w:t xml:space="preserve"> UN’ECONOMIA PIÙ A MISURA D’UOMO E PER QUESTO PIÙ COMPETITIVA E PIÙ CAPACE DI FUTURO COME SOSTIENE IL MANIFESTO DI ASSISI. ANCHE DA QUESTO DERIVA LA FORZA DEL NOSTRO EXPORT. COME PIÙ VOLTE SOTTOLINEATO DAL PRESIDENTE DELLA REPUBBLICA SERGIO MATTARELLA ‘LA CULTURA NON RAPPRESENTA UN LUSSO SUPERFLUO, MA UN AUTENTICO ASSET COMPETITIVO’”.</w:t>
      </w:r>
    </w:p>
    <w:p w14:paraId="50F2D012" w14:textId="7F9791B9" w:rsidR="007002BE" w:rsidRPr="00270BE3" w:rsidRDefault="00977E4C" w:rsidP="007002BE">
      <w:pPr>
        <w:autoSpaceDE w:val="0"/>
        <w:autoSpaceDN w:val="0"/>
        <w:adjustRightInd w:val="0"/>
        <w:spacing w:line="240" w:lineRule="auto"/>
        <w:jc w:val="both"/>
        <w:rPr>
          <w:rFonts w:cstheme="minorHAnsi"/>
          <w:b/>
          <w:bCs/>
          <w:sz w:val="16"/>
          <w:szCs w:val="16"/>
        </w:rPr>
      </w:pPr>
      <w:r w:rsidRPr="00270BE3">
        <w:rPr>
          <w:rFonts w:cstheme="minorHAnsi"/>
          <w:b/>
          <w:bCs/>
          <w:sz w:val="16"/>
          <w:szCs w:val="16"/>
        </w:rPr>
        <w:t>PRETE (UNIONCAMERE</w:t>
      </w:r>
      <w:r>
        <w:rPr>
          <w:rFonts w:cstheme="minorHAnsi"/>
          <w:b/>
          <w:bCs/>
          <w:sz w:val="16"/>
          <w:szCs w:val="16"/>
        </w:rPr>
        <w:t>: “</w:t>
      </w:r>
      <w:r w:rsidRPr="00977E4C">
        <w:rPr>
          <w:rFonts w:cstheme="minorHAnsi"/>
          <w:b/>
          <w:bCs/>
          <w:sz w:val="16"/>
          <w:szCs w:val="16"/>
        </w:rPr>
        <w:t>LA CREATIVITÀ NON È SOLTANTO UN PATRIMONIO IDENTITARIO DELL'ITALIA: È UNA LEVA STRATEGICA DI COMPETITIVITÀ PER IL NOSTRO SISTEMA PRODUTTIVO. IL RAPPORTO IO SONO CULTURA LO DIMOSTRA CON CHIAREZZA: IL VALORE DELLA CULTURA SI ESTENDE BEN OLTRE I CONFINI DELLE INDUSTRIE CULTURALI E CREATIVE, ALIMENTANDO INNOVAZIONE, QUALITÀ E CAPACITÀ DI COMPETERE IN MOLTI COMPARTI DELL'ECONOMIA. È COSÌ NEL TURISMO, DOVE LA COMPONENTE CULTURALE GENERA OLTRE IL 40% DELLE PRESENZE E PIÙ DELLA METÀ DELLA SPESA COMPLESSIVA, GRAZIE A UN'OFFERTA SEMPRE PIÙ ORIENTATA ALL'ESPERIENZA. ED È COSÌ NELLA MANIFATTURA E NELL'ARTIGIANATO DI QUALITÀ, DOVE DESIGN, CREATIVITÀ E SAPER FARE RAPPRESENTANO IL TRATTO DISTINTIVO CHE RENDE IL MADE IN ITALY RICONOSCIBILE E APPREZZATO NEL MONDO. INVESTIRE NELLA CULTURA SIGNIFICA QUINDI INVESTIRE NELLA CRESCITA, NELL'INNOVAZIONE E NELLA COMPETITIVITÀ DEL PAESE</w:t>
      </w:r>
      <w:r>
        <w:rPr>
          <w:rFonts w:cstheme="minorHAnsi"/>
          <w:b/>
          <w:bCs/>
          <w:sz w:val="16"/>
          <w:szCs w:val="16"/>
        </w:rPr>
        <w:t>”.</w:t>
      </w:r>
    </w:p>
    <w:p w14:paraId="2579A79E" w14:textId="765BFE63" w:rsidR="00606EE9" w:rsidRPr="00270BE3" w:rsidRDefault="002D251E" w:rsidP="002D251E">
      <w:pPr>
        <w:jc w:val="both"/>
        <w:rPr>
          <w:rFonts w:cstheme="minorHAnsi"/>
          <w:b/>
          <w:bCs/>
          <w:sz w:val="16"/>
          <w:szCs w:val="16"/>
        </w:rPr>
      </w:pPr>
      <w:r w:rsidRPr="00270BE3">
        <w:rPr>
          <w:rFonts w:cstheme="minorHAnsi"/>
          <w:b/>
          <w:bCs/>
          <w:sz w:val="16"/>
          <w:szCs w:val="16"/>
        </w:rPr>
        <w:t>LANZILLO (DELOITTE &amp; TOUCHE S.P.A.): “IN UN CONTESTO DI VITA COLLETTIVA CARATTERIZZATO DA CONFLITTI INTERNAZIONALI, PROFONDE TRASFORMAZIONI LEGATE ALL’EVOLUZIONE TECNOLOGICA E ALLA DIFFUSIONE DELL'INTELLIGENZA ARTIFICIALE CON IMPATTO SULLE RELAZIONI UMANE, GLI STILI COMUNICATIVI E LA FORMAZIONE, LA CULTURA NON RAPPRESENTA SOLTANTO UN PATRIMONIO DA TUTELARE O UN SETTORE DA SOSTENERE: È UNA RISORSA STRATEGICA PER RAFFORZARE IL PENSIERO CRITICO, PROMUOVERE IL DIALOGO, VALORIZZARE LA DIVERSITÀ E COSTRUIRE SOCIETÀ PIÙ INCLUSIVE. PROPRIO MENTRE LE TECNOLOGIE AMPLIANO LE POSSIBILITÀ DI ACCESSO E PRODUZIONE DELLA CONOSCENZA, CRESCE IL RUOLO INSOSTITUIBILE DELLA CULTURA NEL FORNIRE GLI STRUMENTI PER INTERPRETARE LA COMPLESSITÀ E ORIENTARE IL CAMBIAMENTO. PER QUESTO, MISURARE GLI IMPATTI DELLA CULTURA, ECONOMICI E NON SOLO, SIGNIFICA RENDERE VISIBILE IL SUO CONTRIBUTO ALLO SVILUPPO ECONOMICO, SOCIALE E DEMOCRATICO DEL PAESE”.</w:t>
      </w:r>
    </w:p>
    <w:p w14:paraId="74D71AEE" w14:textId="472016AA" w:rsidR="00D5224A" w:rsidRDefault="00D5224A" w:rsidP="00D5224A">
      <w:pPr>
        <w:jc w:val="both"/>
        <w:rPr>
          <w:rFonts w:ascii="Arial" w:hAnsi="Arial" w:cs="Arial"/>
          <w:b/>
          <w:bCs/>
          <w:sz w:val="16"/>
          <w:szCs w:val="16"/>
        </w:rPr>
      </w:pPr>
    </w:p>
    <w:p w14:paraId="135BAEED" w14:textId="121DCB9F" w:rsidR="00D26F5E" w:rsidRPr="00270BE3" w:rsidRDefault="002C5116" w:rsidP="00D26F5E">
      <w:pPr>
        <w:pStyle w:val="Default"/>
        <w:jc w:val="both"/>
        <w:rPr>
          <w:rFonts w:asciiTheme="minorHAnsi" w:eastAsia="AktivGrotesk-Regular" w:hAnsiTheme="minorHAnsi" w:cstheme="minorHAnsi"/>
          <w:sz w:val="20"/>
          <w:szCs w:val="20"/>
        </w:rPr>
      </w:pPr>
      <w:r w:rsidRPr="00270BE3">
        <w:rPr>
          <w:rFonts w:asciiTheme="minorHAnsi" w:hAnsiTheme="minorHAnsi" w:cstheme="minorHAnsi"/>
          <w:b/>
          <w:bCs/>
          <w:sz w:val="20"/>
          <w:szCs w:val="20"/>
        </w:rPr>
        <w:t>Roma</w:t>
      </w:r>
      <w:r w:rsidR="004F1CB7" w:rsidRPr="00270BE3">
        <w:rPr>
          <w:rFonts w:asciiTheme="minorHAnsi" w:hAnsiTheme="minorHAnsi" w:cstheme="minorHAnsi"/>
          <w:b/>
          <w:bCs/>
          <w:sz w:val="20"/>
          <w:szCs w:val="20"/>
        </w:rPr>
        <w:t xml:space="preserve">, </w:t>
      </w:r>
      <w:r w:rsidR="000D081C" w:rsidRPr="00270BE3">
        <w:rPr>
          <w:rFonts w:asciiTheme="minorHAnsi" w:hAnsiTheme="minorHAnsi" w:cstheme="minorHAnsi"/>
          <w:b/>
          <w:bCs/>
          <w:sz w:val="20"/>
          <w:szCs w:val="20"/>
        </w:rPr>
        <w:t>16 luglio 2026</w:t>
      </w:r>
      <w:r w:rsidRPr="00270BE3">
        <w:rPr>
          <w:rFonts w:asciiTheme="minorHAnsi" w:hAnsiTheme="minorHAnsi" w:cstheme="minorHAnsi"/>
          <w:b/>
          <w:bCs/>
          <w:sz w:val="20"/>
          <w:szCs w:val="20"/>
        </w:rPr>
        <w:t xml:space="preserve">. </w:t>
      </w:r>
      <w:r w:rsidRPr="00270BE3">
        <w:rPr>
          <w:rFonts w:asciiTheme="minorHAnsi" w:eastAsia="AktivGrotesk-Regular" w:hAnsiTheme="minorHAnsi" w:cstheme="minorHAnsi"/>
          <w:sz w:val="20"/>
          <w:szCs w:val="20"/>
        </w:rPr>
        <w:t>Cultura</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e bellezza in Italia sono tratti identitari radicati nella società e nell’economia. Da qui il titolo</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del</w:t>
      </w:r>
      <w:r w:rsidRPr="00270BE3">
        <w:rPr>
          <w:rFonts w:asciiTheme="minorHAnsi" w:eastAsia="AktivGrotesk-Regular" w:hAnsiTheme="minorHAnsi" w:cstheme="minorHAnsi"/>
          <w:b/>
          <w:bCs/>
          <w:sz w:val="20"/>
          <w:szCs w:val="20"/>
        </w:rPr>
        <w:t xml:space="preserve"> </w:t>
      </w:r>
      <w:r w:rsidRPr="00270BE3">
        <w:rPr>
          <w:rFonts w:asciiTheme="minorHAnsi" w:eastAsia="AktivGrotesk-Regular" w:hAnsiTheme="minorHAnsi" w:cstheme="minorHAnsi"/>
          <w:sz w:val="20"/>
          <w:szCs w:val="20"/>
        </w:rPr>
        <w:t xml:space="preserve">rapporto </w:t>
      </w:r>
      <w:r w:rsidRPr="00270BE3">
        <w:rPr>
          <w:rFonts w:asciiTheme="minorHAnsi" w:eastAsia="AktivGrotesk-Regular" w:hAnsiTheme="minorHAnsi" w:cstheme="minorHAnsi"/>
          <w:i/>
          <w:iCs/>
          <w:sz w:val="20"/>
          <w:szCs w:val="20"/>
        </w:rPr>
        <w:t>Io sono cultura</w:t>
      </w:r>
      <w:r w:rsidRPr="00270BE3">
        <w:rPr>
          <w:rFonts w:asciiTheme="minorHAnsi" w:eastAsia="AktivGrotesk-Regular" w:hAnsiTheme="minorHAnsi" w:cstheme="minorHAnsi"/>
          <w:sz w:val="20"/>
          <w:szCs w:val="20"/>
        </w:rPr>
        <w:t xml:space="preserve">, e grazie alla loro forte relazione con la manifattura hanno dato vita ad una delle più </w:t>
      </w:r>
      <w:r w:rsidRPr="00270BE3">
        <w:rPr>
          <w:rFonts w:asciiTheme="minorHAnsi" w:eastAsia="AktivGrotesk-Regular" w:hAnsiTheme="minorHAnsi" w:cstheme="minorHAnsi"/>
          <w:sz w:val="20"/>
          <w:szCs w:val="20"/>
        </w:rPr>
        <w:lastRenderedPageBreak/>
        <w:t>forti identità produttive del mondo, il made in Italy</w:t>
      </w:r>
      <w:r w:rsidRPr="00270BE3">
        <w:rPr>
          <w:rFonts w:asciiTheme="minorHAnsi" w:eastAsia="AktivGrotesk-Regular" w:hAnsiTheme="minorHAnsi" w:cstheme="minorHAnsi"/>
          <w:b/>
          <w:bCs/>
          <w:sz w:val="20"/>
          <w:szCs w:val="20"/>
        </w:rPr>
        <w:t xml:space="preserve">. </w:t>
      </w:r>
      <w:r w:rsidRPr="00270BE3">
        <w:rPr>
          <w:rFonts w:asciiTheme="minorHAnsi" w:eastAsia="Calibri" w:hAnsiTheme="minorHAnsi" w:cstheme="minorHAnsi"/>
          <w:sz w:val="20"/>
          <w:szCs w:val="20"/>
        </w:rPr>
        <w:t>Oggi</w:t>
      </w:r>
      <w:r w:rsidR="008519B7" w:rsidRPr="00270BE3">
        <w:rPr>
          <w:rFonts w:asciiTheme="minorHAnsi" w:eastAsia="Calibri" w:hAnsiTheme="minorHAnsi" w:cstheme="minorHAnsi"/>
          <w:sz w:val="20"/>
          <w:szCs w:val="20"/>
        </w:rPr>
        <w:t xml:space="preserve"> </w:t>
      </w:r>
      <w:r w:rsidRPr="00270BE3">
        <w:rPr>
          <w:rFonts w:asciiTheme="minorHAnsi" w:eastAsia="Calibri" w:hAnsiTheme="minorHAnsi" w:cstheme="minorHAnsi"/>
          <w:sz w:val="20"/>
          <w:szCs w:val="20"/>
        </w:rPr>
        <w:t>le industrie culturali e creative sono tra i settori più strategici per facilitare la ripresa economica e sociale italiana</w:t>
      </w:r>
      <w:r w:rsidR="00127FDC" w:rsidRPr="00270BE3">
        <w:rPr>
          <w:rFonts w:asciiTheme="minorHAnsi" w:eastAsia="Calibri" w:hAnsiTheme="minorHAnsi" w:cstheme="minorHAnsi"/>
          <w:sz w:val="20"/>
          <w:szCs w:val="20"/>
        </w:rPr>
        <w:t>; n</w:t>
      </w:r>
      <w:r w:rsidRPr="00270BE3">
        <w:rPr>
          <w:rFonts w:asciiTheme="minorHAnsi" w:eastAsia="Calibri" w:hAnsiTheme="minorHAnsi" w:cstheme="minorHAnsi"/>
          <w:sz w:val="20"/>
          <w:szCs w:val="20"/>
        </w:rPr>
        <w:t xml:space="preserve">on solo perché i </w:t>
      </w:r>
      <w:r w:rsidR="00127FDC" w:rsidRPr="00270BE3">
        <w:rPr>
          <w:rFonts w:asciiTheme="minorHAnsi" w:eastAsia="Calibri" w:hAnsiTheme="minorHAnsi" w:cstheme="minorHAnsi"/>
          <w:sz w:val="20"/>
          <w:szCs w:val="20"/>
        </w:rPr>
        <w:t>dati</w:t>
      </w:r>
      <w:r w:rsidRPr="00270BE3">
        <w:rPr>
          <w:rFonts w:asciiTheme="minorHAnsi" w:eastAsia="Calibri" w:hAnsiTheme="minorHAnsi" w:cstheme="minorHAnsi"/>
          <w:sz w:val="20"/>
          <w:szCs w:val="20"/>
        </w:rPr>
        <w:t xml:space="preserve"> dell’ultimo decennio dimostrano che parliamo di una fonte significativa di posti di lavoro e ricchezza</w:t>
      </w:r>
      <w:r w:rsidR="008C5941" w:rsidRPr="00270BE3">
        <w:rPr>
          <w:rFonts w:asciiTheme="minorHAnsi" w:eastAsia="Calibri" w:hAnsiTheme="minorHAnsi" w:cstheme="minorHAnsi"/>
          <w:sz w:val="20"/>
          <w:szCs w:val="20"/>
        </w:rPr>
        <w:t xml:space="preserve"> m</w:t>
      </w:r>
      <w:r w:rsidRPr="00270BE3">
        <w:rPr>
          <w:rFonts w:asciiTheme="minorHAnsi" w:eastAsia="Calibri" w:hAnsiTheme="minorHAnsi" w:cstheme="minorHAnsi"/>
          <w:sz w:val="20"/>
          <w:szCs w:val="20"/>
        </w:rPr>
        <w:t xml:space="preserve">a anche perché sono un motore di innovazione per l’intera economia e agiscono come un attivatore della crescita di altri settori, </w:t>
      </w:r>
      <w:r w:rsidR="007911F4" w:rsidRPr="00270BE3">
        <w:rPr>
          <w:rFonts w:asciiTheme="minorHAnsi" w:eastAsia="Calibri" w:hAnsiTheme="minorHAnsi" w:cstheme="minorHAnsi"/>
          <w:sz w:val="20"/>
          <w:szCs w:val="20"/>
        </w:rPr>
        <w:t xml:space="preserve">dal turismo a tutti i settori economici che beneficiano del processo di culturalizzazione dell’economia grazie anche </w:t>
      </w:r>
      <w:r w:rsidR="008042F7" w:rsidRPr="00270BE3">
        <w:rPr>
          <w:rFonts w:asciiTheme="minorHAnsi" w:eastAsia="Calibri" w:hAnsiTheme="minorHAnsi" w:cstheme="minorHAnsi"/>
          <w:sz w:val="20"/>
          <w:szCs w:val="20"/>
        </w:rPr>
        <w:t>al contributo innovativo</w:t>
      </w:r>
      <w:r w:rsidR="007911F4" w:rsidRPr="00270BE3">
        <w:rPr>
          <w:rFonts w:asciiTheme="minorHAnsi" w:eastAsia="Calibri" w:hAnsiTheme="minorHAnsi" w:cstheme="minorHAnsi"/>
          <w:sz w:val="20"/>
          <w:szCs w:val="20"/>
        </w:rPr>
        <w:t xml:space="preserve"> </w:t>
      </w:r>
      <w:r w:rsidR="007911F4" w:rsidRPr="00270BE3">
        <w:rPr>
          <w:rFonts w:asciiTheme="minorHAnsi" w:eastAsia="Calibri" w:hAnsiTheme="minorHAnsi" w:cstheme="minorHAnsi"/>
          <w:i/>
          <w:iCs/>
          <w:sz w:val="20"/>
          <w:szCs w:val="20"/>
        </w:rPr>
        <w:t>Embedded Creatives</w:t>
      </w:r>
      <w:r w:rsidR="007911F4" w:rsidRPr="00270BE3">
        <w:rPr>
          <w:rFonts w:asciiTheme="minorHAnsi" w:eastAsia="Calibri" w:hAnsiTheme="minorHAnsi" w:cstheme="minorHAnsi"/>
          <w:sz w:val="20"/>
          <w:szCs w:val="20"/>
        </w:rPr>
        <w:t xml:space="preserve">, ovvero i professionisti culturali e creativi che operano al di fuori dei settori che costituiscono il Core cultura. </w:t>
      </w:r>
      <w:r w:rsidRPr="00270BE3">
        <w:rPr>
          <w:rFonts w:asciiTheme="minorHAnsi" w:eastAsia="AktivGrotesk-Regular" w:hAnsiTheme="minorHAnsi" w:cstheme="minorHAnsi"/>
          <w:i/>
          <w:iCs/>
          <w:sz w:val="20"/>
          <w:szCs w:val="20"/>
        </w:rPr>
        <w:t>Io sono cultura</w:t>
      </w:r>
      <w:r w:rsidRPr="00270BE3">
        <w:rPr>
          <w:rFonts w:asciiTheme="minorHAnsi" w:eastAsia="AktivGrotesk-Regular" w:hAnsiTheme="minorHAnsi" w:cstheme="minorHAnsi"/>
          <w:sz w:val="20"/>
          <w:szCs w:val="20"/>
        </w:rPr>
        <w:t xml:space="preserve"> annualmente quantifica il peso della cultura e della creatività nell’economia nazionale. I </w:t>
      </w:r>
      <w:r w:rsidR="008042F7" w:rsidRPr="00270BE3">
        <w:rPr>
          <w:rFonts w:asciiTheme="minorHAnsi" w:eastAsia="AktivGrotesk-Regular" w:hAnsiTheme="minorHAnsi" w:cstheme="minorHAnsi"/>
          <w:sz w:val="20"/>
          <w:szCs w:val="20"/>
        </w:rPr>
        <w:t xml:space="preserve">dati </w:t>
      </w:r>
      <w:r w:rsidRPr="00270BE3">
        <w:rPr>
          <w:rFonts w:asciiTheme="minorHAnsi" w:eastAsia="AktivGrotesk-Regular" w:hAnsiTheme="minorHAnsi" w:cstheme="minorHAnsi"/>
          <w:sz w:val="20"/>
          <w:szCs w:val="20"/>
        </w:rPr>
        <w:t>dimostrano che la cultura è uno dei motori della nostra economia</w:t>
      </w:r>
      <w:r w:rsidR="000527D4" w:rsidRPr="00270BE3">
        <w:rPr>
          <w:rFonts w:asciiTheme="minorHAnsi" w:eastAsia="AktivGrotesk-Regular" w:hAnsiTheme="minorHAnsi" w:cstheme="minorHAnsi"/>
          <w:sz w:val="20"/>
          <w:szCs w:val="20"/>
        </w:rPr>
        <w:t>;</w:t>
      </w:r>
      <w:r w:rsidRPr="00270BE3">
        <w:rPr>
          <w:rFonts w:asciiTheme="minorHAnsi" w:eastAsia="AktivGrotesk-Regular" w:hAnsiTheme="minorHAnsi" w:cstheme="minorHAnsi"/>
          <w:sz w:val="20"/>
          <w:szCs w:val="20"/>
        </w:rPr>
        <w:t xml:space="preserve"> lo studio propone </w:t>
      </w:r>
      <w:r w:rsidR="00BE394A" w:rsidRPr="00270BE3">
        <w:rPr>
          <w:rFonts w:asciiTheme="minorHAnsi" w:eastAsia="AktivGrotesk-Regular" w:hAnsiTheme="minorHAnsi" w:cstheme="minorHAnsi"/>
          <w:sz w:val="20"/>
          <w:szCs w:val="20"/>
        </w:rPr>
        <w:t xml:space="preserve">dati </w:t>
      </w:r>
      <w:r w:rsidRPr="00270BE3">
        <w:rPr>
          <w:rFonts w:asciiTheme="minorHAnsi" w:eastAsia="AktivGrotesk-Regular" w:hAnsiTheme="minorHAnsi" w:cstheme="minorHAnsi"/>
          <w:sz w:val="20"/>
          <w:szCs w:val="20"/>
        </w:rPr>
        <w:t>e storie ed è realizzato grazie al contributo di molte personalità di punta nei diversi settori.</w:t>
      </w:r>
      <w:r w:rsidR="00567FA2" w:rsidRPr="00270BE3">
        <w:rPr>
          <w:rFonts w:asciiTheme="minorHAnsi" w:hAnsiTheme="minorHAnsi" w:cstheme="minorHAnsi"/>
          <w:sz w:val="20"/>
          <w:szCs w:val="20"/>
        </w:rPr>
        <w:t xml:space="preserve"> </w:t>
      </w:r>
    </w:p>
    <w:p w14:paraId="1B72B34B" w14:textId="77777777" w:rsidR="00567FA2" w:rsidRPr="00270BE3" w:rsidRDefault="00567FA2" w:rsidP="00D26F5E">
      <w:pPr>
        <w:pStyle w:val="Default"/>
        <w:jc w:val="both"/>
        <w:rPr>
          <w:rFonts w:asciiTheme="minorHAnsi" w:hAnsiTheme="minorHAnsi" w:cstheme="minorHAnsi"/>
          <w:sz w:val="20"/>
          <w:szCs w:val="20"/>
        </w:rPr>
      </w:pPr>
    </w:p>
    <w:p w14:paraId="42707600" w14:textId="5ECE6733" w:rsidR="00D26F5E" w:rsidRPr="00270BE3" w:rsidRDefault="00D26F5E" w:rsidP="00E2011B">
      <w:pPr>
        <w:pStyle w:val="Default"/>
        <w:jc w:val="both"/>
        <w:rPr>
          <w:rFonts w:asciiTheme="minorHAnsi" w:eastAsia="AktivGrotesk-Regular" w:hAnsiTheme="minorHAnsi" w:cstheme="minorHAnsi"/>
          <w:b/>
          <w:bCs/>
          <w:sz w:val="20"/>
          <w:szCs w:val="20"/>
        </w:rPr>
      </w:pPr>
      <w:r w:rsidRPr="00270BE3">
        <w:rPr>
          <w:rFonts w:asciiTheme="minorHAnsi" w:eastAsia="AktivGrotesk-Regular" w:hAnsiTheme="minorHAnsi" w:cstheme="minorHAnsi"/>
          <w:b/>
          <w:bCs/>
          <w:sz w:val="20"/>
          <w:szCs w:val="20"/>
        </w:rPr>
        <w:t xml:space="preserve">Il rapporto, arrivato alla sedicesima edizione, è realizzato </w:t>
      </w:r>
      <w:r w:rsidR="0070619E" w:rsidRPr="00270BE3">
        <w:rPr>
          <w:rFonts w:asciiTheme="minorHAnsi" w:eastAsia="AktivGrotesk-Regular" w:hAnsiTheme="minorHAnsi" w:cstheme="minorHAnsi"/>
          <w:b/>
          <w:bCs/>
          <w:sz w:val="20"/>
          <w:szCs w:val="20"/>
        </w:rPr>
        <w:t xml:space="preserve">congiuntamente </w:t>
      </w:r>
      <w:r w:rsidRPr="00270BE3">
        <w:rPr>
          <w:rFonts w:asciiTheme="minorHAnsi" w:eastAsia="AktivGrotesk-Regular" w:hAnsiTheme="minorHAnsi" w:cstheme="minorHAnsi"/>
          <w:b/>
          <w:bCs/>
          <w:sz w:val="20"/>
          <w:szCs w:val="20"/>
        </w:rPr>
        <w:t xml:space="preserve">da </w:t>
      </w:r>
      <w:r w:rsidR="00FE639C">
        <w:rPr>
          <w:rFonts w:asciiTheme="minorHAnsi" w:eastAsia="AktivGrotesk-Regular" w:hAnsiTheme="minorHAnsi" w:cstheme="minorHAnsi"/>
          <w:b/>
          <w:bCs/>
          <w:sz w:val="20"/>
          <w:szCs w:val="20"/>
        </w:rPr>
        <w:t xml:space="preserve">Fondazione Symbola, </w:t>
      </w:r>
      <w:r w:rsidRPr="00270BE3">
        <w:rPr>
          <w:rFonts w:asciiTheme="minorHAnsi" w:eastAsia="AktivGrotesk-Regular" w:hAnsiTheme="minorHAnsi" w:cstheme="minorHAnsi"/>
          <w:b/>
          <w:bCs/>
          <w:sz w:val="20"/>
          <w:szCs w:val="20"/>
        </w:rPr>
        <w:t xml:space="preserve">Unioncamere, </w:t>
      </w:r>
      <w:r w:rsidR="001D6B23">
        <w:rPr>
          <w:rFonts w:asciiTheme="minorHAnsi" w:eastAsia="AktivGrotesk-Regular" w:hAnsiTheme="minorHAnsi" w:cstheme="minorHAnsi"/>
          <w:b/>
          <w:bCs/>
          <w:sz w:val="20"/>
          <w:szCs w:val="20"/>
        </w:rPr>
        <w:t xml:space="preserve">dal suo </w:t>
      </w:r>
      <w:r w:rsidRPr="00270BE3">
        <w:rPr>
          <w:rFonts w:asciiTheme="minorHAnsi" w:eastAsia="AktivGrotesk-Regular" w:hAnsiTheme="minorHAnsi" w:cstheme="minorHAnsi"/>
          <w:b/>
          <w:bCs/>
          <w:sz w:val="20"/>
          <w:szCs w:val="20"/>
        </w:rPr>
        <w:t>Centro Studi Guglielmo Tagliacarne</w:t>
      </w:r>
      <w:r w:rsidR="00BA0596">
        <w:rPr>
          <w:rFonts w:asciiTheme="minorHAnsi" w:eastAsia="AktivGrotesk-Regular" w:hAnsiTheme="minorHAnsi" w:cstheme="minorHAnsi"/>
          <w:b/>
          <w:bCs/>
          <w:sz w:val="20"/>
          <w:szCs w:val="20"/>
        </w:rPr>
        <w:t xml:space="preserve"> e </w:t>
      </w:r>
      <w:r w:rsidRPr="00270BE3">
        <w:rPr>
          <w:rFonts w:asciiTheme="minorHAnsi" w:eastAsia="AktivGrotesk-Regular" w:hAnsiTheme="minorHAnsi" w:cstheme="minorHAnsi"/>
          <w:b/>
          <w:bCs/>
          <w:sz w:val="20"/>
          <w:szCs w:val="20"/>
        </w:rPr>
        <w:t>Deloitte con la collaborazione dell’Istituto per il Credito Sportivo e Culturale, Fondazione Fitzcarraldo, Fornasetti e con il patrocinio del Ministero della Cultura. È stato presentato oggi</w:t>
      </w:r>
      <w:r w:rsidR="001E0C61" w:rsidRPr="00270BE3">
        <w:rPr>
          <w:rFonts w:asciiTheme="minorHAnsi" w:eastAsia="AktivGrotesk-Regular" w:hAnsiTheme="minorHAnsi" w:cstheme="minorHAnsi"/>
          <w:b/>
          <w:bCs/>
          <w:sz w:val="20"/>
          <w:szCs w:val="20"/>
        </w:rPr>
        <w:t>, con i saluti di Giovanni Cannata, Rettore Universit</w:t>
      </w:r>
      <w:r w:rsidR="00BE11A1">
        <w:rPr>
          <w:rFonts w:asciiTheme="minorHAnsi" w:eastAsia="AktivGrotesk-Regular" w:hAnsiTheme="minorHAnsi" w:cstheme="minorHAnsi"/>
          <w:b/>
          <w:bCs/>
          <w:sz w:val="20"/>
          <w:szCs w:val="20"/>
        </w:rPr>
        <w:t>as</w:t>
      </w:r>
      <w:r w:rsidR="001E0C61" w:rsidRPr="00270BE3">
        <w:rPr>
          <w:rFonts w:asciiTheme="minorHAnsi" w:eastAsia="AktivGrotesk-Regular" w:hAnsiTheme="minorHAnsi" w:cstheme="minorHAnsi"/>
          <w:b/>
          <w:bCs/>
          <w:sz w:val="20"/>
          <w:szCs w:val="20"/>
        </w:rPr>
        <w:t xml:space="preserve"> Mercatorum,</w:t>
      </w:r>
      <w:r w:rsidRPr="00270BE3">
        <w:rPr>
          <w:rFonts w:asciiTheme="minorHAnsi" w:eastAsia="AktivGrotesk-Regular" w:hAnsiTheme="minorHAnsi" w:cstheme="minorHAnsi"/>
          <w:b/>
          <w:bCs/>
          <w:sz w:val="20"/>
          <w:szCs w:val="20"/>
        </w:rPr>
        <w:t xml:space="preserve"> da Ermete Realacci, presidente della Fondazione Symbola; Andrea Prete, presidente di Unioncamere; </w:t>
      </w:r>
      <w:r w:rsidR="008D3B5D" w:rsidRPr="00270BE3">
        <w:rPr>
          <w:rFonts w:asciiTheme="minorHAnsi" w:eastAsia="AktivGrotesk-Regular" w:hAnsiTheme="minorHAnsi" w:cstheme="minorHAnsi"/>
          <w:b/>
          <w:bCs/>
          <w:sz w:val="20"/>
          <w:szCs w:val="20"/>
        </w:rPr>
        <w:t>Ernesto Lanzillo, presidente di Deloitte &amp; Touche S.p.a</w:t>
      </w:r>
      <w:r w:rsidRPr="00270BE3">
        <w:rPr>
          <w:rFonts w:asciiTheme="minorHAnsi" w:eastAsia="AktivGrotesk-Regular" w:hAnsiTheme="minorHAnsi" w:cstheme="minorHAnsi"/>
          <w:b/>
          <w:bCs/>
          <w:sz w:val="20"/>
          <w:szCs w:val="20"/>
        </w:rPr>
        <w:t>; Beniamino Quintieri, presidente Istituto per il Credito Sportivo e Culturale.</w:t>
      </w:r>
      <w:r w:rsidR="001E0C61" w:rsidRPr="00270BE3">
        <w:rPr>
          <w:rFonts w:asciiTheme="minorHAnsi" w:hAnsiTheme="minorHAnsi" w:cstheme="minorHAnsi"/>
          <w:color w:val="auto"/>
          <w:sz w:val="20"/>
          <w:szCs w:val="20"/>
        </w:rPr>
        <w:t xml:space="preserve"> </w:t>
      </w:r>
      <w:r w:rsidRPr="00270BE3">
        <w:rPr>
          <w:rFonts w:asciiTheme="minorHAnsi" w:eastAsia="AktivGrotesk-Regular" w:hAnsiTheme="minorHAnsi" w:cstheme="minorHAnsi"/>
          <w:b/>
          <w:bCs/>
          <w:sz w:val="20"/>
          <w:szCs w:val="20"/>
        </w:rPr>
        <w:t xml:space="preserve">Ne hanno discusso Alfredo Accatino, presidente Filmmaster; </w:t>
      </w:r>
      <w:r w:rsidR="00E2011B" w:rsidRPr="00270BE3">
        <w:rPr>
          <w:rFonts w:asciiTheme="minorHAnsi" w:eastAsia="AktivGrotesk-Regular" w:hAnsiTheme="minorHAnsi" w:cstheme="minorHAnsi"/>
          <w:b/>
          <w:bCs/>
          <w:sz w:val="20"/>
          <w:szCs w:val="20"/>
        </w:rPr>
        <w:t>Thalita Malagò, direttrice generale e consigliera delegata IIDEA; Raffaele Ranucci, amministratore delegato Fondazione Musica per Roma;</w:t>
      </w:r>
      <w:r w:rsidR="001E0C61" w:rsidRPr="00270BE3">
        <w:rPr>
          <w:rFonts w:asciiTheme="minorHAnsi" w:eastAsia="AktivGrotesk-Regular" w:hAnsiTheme="minorHAnsi" w:cstheme="minorHAnsi"/>
          <w:b/>
          <w:bCs/>
          <w:sz w:val="20"/>
          <w:szCs w:val="20"/>
        </w:rPr>
        <w:t xml:space="preserve"> Giampiero Di Carlo, Founder e CEO Rockol. </w:t>
      </w:r>
      <w:r w:rsidRPr="00270BE3">
        <w:rPr>
          <w:rFonts w:asciiTheme="minorHAnsi" w:eastAsia="AktivGrotesk-Regular" w:hAnsiTheme="minorHAnsi" w:cstheme="minorHAnsi"/>
          <w:b/>
          <w:bCs/>
          <w:sz w:val="20"/>
          <w:szCs w:val="20"/>
        </w:rPr>
        <w:t>Ha moderato i lavori Manuela Rafaiani, giornalista e CDA Fondazione Symbola.</w:t>
      </w:r>
    </w:p>
    <w:p w14:paraId="4B1FDF68" w14:textId="77777777" w:rsidR="00E65BE2" w:rsidRPr="00270BE3" w:rsidRDefault="00E65BE2" w:rsidP="00D6057F">
      <w:pPr>
        <w:autoSpaceDE w:val="0"/>
        <w:autoSpaceDN w:val="0"/>
        <w:adjustRightInd w:val="0"/>
        <w:spacing w:after="0" w:line="240" w:lineRule="auto"/>
        <w:jc w:val="both"/>
        <w:rPr>
          <w:rFonts w:eastAsia="AktivGrotesk-Regular" w:cstheme="minorHAnsi"/>
          <w:sz w:val="20"/>
          <w:szCs w:val="20"/>
        </w:rPr>
      </w:pPr>
    </w:p>
    <w:p w14:paraId="05C74357" w14:textId="77777777" w:rsidR="0095162B" w:rsidRPr="00270BE3" w:rsidRDefault="0095162B" w:rsidP="0095162B">
      <w:pPr>
        <w:autoSpaceDE w:val="0"/>
        <w:autoSpaceDN w:val="0"/>
        <w:adjustRightInd w:val="0"/>
        <w:spacing w:after="0" w:line="240" w:lineRule="auto"/>
        <w:jc w:val="both"/>
        <w:rPr>
          <w:rFonts w:cstheme="minorHAnsi"/>
          <w:b/>
          <w:bCs/>
          <w:sz w:val="20"/>
          <w:szCs w:val="20"/>
        </w:rPr>
      </w:pPr>
      <w:r w:rsidRPr="00270BE3">
        <w:rPr>
          <w:rFonts w:cstheme="minorHAnsi"/>
          <w:b/>
          <w:bCs/>
          <w:sz w:val="20"/>
          <w:szCs w:val="20"/>
        </w:rPr>
        <w:t>I dati riferiti al 2025 confermano la solidità del Sistema Produttivo Culturale e Creativo (SPCC) italiano come motore di sviluppo economico, occupazionale e sociale del Paese. La filiera - tra professionisti, imprese, terzo settore e pubblica amministrazione - ha generato 115,8 miliardi di euro di valore aggiunto, pari al 5,7% dell'economia nazionale, con una crescita del +3,3% rispetto all'anno precedente. Gli occupati sono quasi 1,54 milioni, pari al 5,7% del totale, con un incremento dell'+1,7% rispetto al 2024. Un valore che si estende oltre la ricchezza direttamente prodotta: ogni euro generato dal Sistema Produttivo Culturale e Creativo ne attiva altri 1,7 nel resto dell’economia, arrivando a muovere circa 310 miliardi di euro complessivi, pari al 15,4% del PIL italiano.</w:t>
      </w:r>
    </w:p>
    <w:p w14:paraId="486F1667" w14:textId="77777777" w:rsidR="0095162B"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La crescita ha interessato entrambe le componenti del sistema. Da un lato il Core Cultura, che nel 2025 genera 66,8 miliardi di euro di valore aggiunto e cresce del +3,2% rispetto all’anno precedente; dall’altro gli </w:t>
      </w:r>
      <w:r w:rsidRPr="00270BE3">
        <w:rPr>
          <w:rFonts w:cstheme="minorHAnsi"/>
          <w:i/>
          <w:iCs/>
          <w:sz w:val="20"/>
          <w:szCs w:val="20"/>
        </w:rPr>
        <w:t>Embedded Creatives</w:t>
      </w:r>
      <w:r w:rsidRPr="00270BE3">
        <w:rPr>
          <w:rFonts w:cstheme="minorHAnsi"/>
          <w:sz w:val="20"/>
          <w:szCs w:val="20"/>
        </w:rPr>
        <w:t>, ossia i professionisti culturali e creativi impiegati nei settori non strettamente culturali, che producono quasi 49 miliardi di euro e registrano una crescita del +3,4%. Numeri che raccontano una forza economica rilevante, ma che rimandano anche a qualcosa di più profondo: la capacità della cultura di produrre innovazione, relazioni, inclusione, identità e fiducia, ingredienti essenziali della competitività italiana.</w:t>
      </w:r>
    </w:p>
    <w:p w14:paraId="68BB574A" w14:textId="77777777" w:rsidR="0095162B"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Tra i domini del Core Cultura, Software e videogiochi si confermano il principale generatore di valore e occupazione, seguiti da Editoria e stampa e da Architettura e design che, nel 2025, tornano entrambe a crescere. Performance positive interessano anche gli altri comparti, confermando come lo sviluppo del sistema culturale e creativo sia sostenuto tanto dalle attività più innovative quanto da quelle tradizionali.</w:t>
      </w:r>
    </w:p>
    <w:p w14:paraId="50CC3EF6" w14:textId="77777777" w:rsidR="001F3546" w:rsidRPr="00270BE3" w:rsidRDefault="0095162B" w:rsidP="0095162B">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L’analisi territoriale conferma la forte concentrazione delle attività culturali e creative nelle regioni del Centro-Nord e nelle principali aree metropolitane, ma mette in luce anche la crescente capacità di numerosi territori di valorizzare la cultura come elemento distintivo del proprio modello di sviluppo. </w:t>
      </w:r>
    </w:p>
    <w:p w14:paraId="13699D19" w14:textId="778A029B" w:rsidR="001F3546" w:rsidRPr="00270BE3" w:rsidRDefault="0095162B" w:rsidP="0095162B">
      <w:pPr>
        <w:autoSpaceDE w:val="0"/>
        <w:autoSpaceDN w:val="0"/>
        <w:adjustRightInd w:val="0"/>
        <w:spacing w:after="0" w:line="240" w:lineRule="auto"/>
        <w:jc w:val="both"/>
        <w:rPr>
          <w:rFonts w:cstheme="minorHAnsi"/>
          <w:b/>
          <w:bCs/>
          <w:sz w:val="20"/>
          <w:szCs w:val="20"/>
        </w:rPr>
      </w:pPr>
      <w:r w:rsidRPr="00270BE3">
        <w:rPr>
          <w:rFonts w:cstheme="minorHAnsi"/>
          <w:b/>
          <w:bCs/>
          <w:sz w:val="20"/>
          <w:szCs w:val="20"/>
        </w:rPr>
        <w:t xml:space="preserve">Il Lazio si conferma la regione con il più elevato livello di specializzazione culturale e creativa, con un’incidenza del SPCC pari all’8,1% dell’economia regionale, seguito dalla Lombardia, che mantiene la leadership nazionale in termini di dimensione economica con oltre 33 miliardi di euro di valore aggiunto generati dal Sistema Produttivo Culturale e Creativo. </w:t>
      </w:r>
    </w:p>
    <w:p w14:paraId="230368D8" w14:textId="5974A3DD" w:rsidR="00B272E1" w:rsidRPr="00270BE3" w:rsidRDefault="0095162B" w:rsidP="00C12FBD">
      <w:pPr>
        <w:autoSpaceDE w:val="0"/>
        <w:autoSpaceDN w:val="0"/>
        <w:adjustRightInd w:val="0"/>
        <w:spacing w:after="0" w:line="240" w:lineRule="auto"/>
        <w:jc w:val="both"/>
        <w:rPr>
          <w:rFonts w:cstheme="minorHAnsi"/>
          <w:sz w:val="20"/>
          <w:szCs w:val="20"/>
        </w:rPr>
      </w:pPr>
      <w:r w:rsidRPr="00270BE3">
        <w:rPr>
          <w:rFonts w:cstheme="minorHAnsi"/>
          <w:sz w:val="20"/>
          <w:szCs w:val="20"/>
        </w:rPr>
        <w:t>Tra le altre regioni emergono Piemonte, Veneto, Toscana ed Emilia-Romagna, mentre nel Mezzogiorno continua a distinguersi la Campania, dove la cultura rappresenta una componente rilevante della crescita economica e dell’attrattività territoriale</w:t>
      </w:r>
      <w:r w:rsidR="00B61E4E">
        <w:rPr>
          <w:rFonts w:cstheme="minorHAnsi"/>
          <w:sz w:val="20"/>
          <w:szCs w:val="20"/>
        </w:rPr>
        <w:t>.</w:t>
      </w:r>
      <w:r w:rsidRPr="00270BE3">
        <w:rPr>
          <w:rFonts w:cstheme="minorHAnsi"/>
          <w:sz w:val="20"/>
          <w:szCs w:val="20"/>
        </w:rPr>
        <w:t xml:space="preserve"> </w:t>
      </w:r>
    </w:p>
    <w:p w14:paraId="60693419" w14:textId="17FA2668" w:rsidR="00774412" w:rsidRPr="00270BE3" w:rsidRDefault="0095162B" w:rsidP="00AB0497">
      <w:pPr>
        <w:spacing w:after="0" w:line="240" w:lineRule="auto"/>
        <w:jc w:val="both"/>
        <w:rPr>
          <w:rFonts w:eastAsia="Times New Roman" w:cstheme="minorHAnsi"/>
          <w:b/>
          <w:bCs/>
          <w:sz w:val="20"/>
          <w:szCs w:val="20"/>
          <w:lang w:eastAsia="it-IT"/>
        </w:rPr>
      </w:pPr>
      <w:r w:rsidRPr="00270BE3">
        <w:rPr>
          <w:rFonts w:cstheme="minorHAnsi"/>
          <w:sz w:val="20"/>
          <w:szCs w:val="20"/>
        </w:rPr>
        <w:t>La bellezza delle città italiane, frutto della stratificazione del patrimonio storico, architettonico e paesaggistico, è sempre più riconosciuta come un asset economico e identitario, non solo attrattore turistico, ma fattore di localizzazione per imprese e talenti e infrastruttura immateriale capace di qualificare un territorio.</w:t>
      </w:r>
      <w:r w:rsidR="00B272E1" w:rsidRPr="00270BE3">
        <w:rPr>
          <w:rFonts w:cstheme="minorHAnsi"/>
          <w:sz w:val="20"/>
          <w:szCs w:val="20"/>
        </w:rPr>
        <w:t xml:space="preserve"> </w:t>
      </w:r>
      <w:r w:rsidR="009F19F4" w:rsidRPr="00270BE3">
        <w:rPr>
          <w:rFonts w:cstheme="minorHAnsi"/>
          <w:sz w:val="20"/>
          <w:szCs w:val="20"/>
        </w:rPr>
        <w:t xml:space="preserve">La presenza di Roma continua a esercitare un ruolo determinante, concentrando istituzioni culturali connesse alla valorizzazione del patrimonio storico e artistico, attività audiovisive, dell’editoria, della comunicazione e una parte rilevante delle funzioni amministrative e </w:t>
      </w:r>
      <w:r w:rsidR="009F19F4" w:rsidRPr="00270BE3">
        <w:rPr>
          <w:rFonts w:cstheme="minorHAnsi"/>
          <w:sz w:val="20"/>
          <w:szCs w:val="20"/>
        </w:rPr>
        <w:lastRenderedPageBreak/>
        <w:t>direzionali del Paese.</w:t>
      </w:r>
      <w:r w:rsidR="001F3546" w:rsidRPr="00270BE3">
        <w:rPr>
          <w:rFonts w:cstheme="minorHAnsi"/>
          <w:sz w:val="20"/>
          <w:szCs w:val="20"/>
        </w:rPr>
        <w:t xml:space="preserve"> Milano non è solo una sede produttiva, ma la capitale del design, capace di attrarre pubblici internazionali attraverso il Salone del Mobile, trasformato negli anni in un'infrastruttura culturale globale.</w:t>
      </w:r>
      <w:r w:rsidR="004D04E8" w:rsidRPr="00270BE3">
        <w:rPr>
          <w:rFonts w:cstheme="minorHAnsi"/>
          <w:sz w:val="20"/>
          <w:szCs w:val="20"/>
        </w:rPr>
        <w:t xml:space="preserve"> </w:t>
      </w:r>
    </w:p>
    <w:p w14:paraId="1034E020" w14:textId="5D8E2519" w:rsidR="004D04E8" w:rsidRPr="00270BE3" w:rsidRDefault="004D04E8" w:rsidP="004D04E8">
      <w:pPr>
        <w:spacing w:after="0"/>
        <w:jc w:val="both"/>
        <w:rPr>
          <w:rFonts w:cstheme="minorHAnsi"/>
          <w:sz w:val="20"/>
          <w:szCs w:val="20"/>
        </w:rPr>
      </w:pPr>
    </w:p>
    <w:p w14:paraId="4D604903" w14:textId="46FB7DDB" w:rsidR="009F19F4" w:rsidRPr="00270BE3" w:rsidRDefault="009F19F4" w:rsidP="009F19F4">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Il Piemonte si colloca immediatamente dopo i due leader nazionali con un’incidenza pari al 6,5%, mentre </w:t>
      </w:r>
      <w:r w:rsidR="00183B97">
        <w:rPr>
          <w:rFonts w:cstheme="minorHAnsi"/>
          <w:sz w:val="20"/>
          <w:szCs w:val="20"/>
        </w:rPr>
        <w:t xml:space="preserve">Veneto e </w:t>
      </w:r>
      <w:r w:rsidRPr="00270BE3">
        <w:rPr>
          <w:rFonts w:cstheme="minorHAnsi"/>
          <w:sz w:val="20"/>
          <w:szCs w:val="20"/>
        </w:rPr>
        <w:t>Toscana occupano rispettivamente il quarto e il quinto posto nella graduatoria dello SPCC, con un'incidenza pari al 5,6%. Si tratta di territori nei quali il patrimonio culturale si combina con sistemi produttivi evoluti e con una diffusa presenza di imprese creative e culturali.</w:t>
      </w:r>
    </w:p>
    <w:p w14:paraId="01DDD42E" w14:textId="77777777" w:rsidR="009F19F4" w:rsidRPr="00270BE3" w:rsidRDefault="009F19F4" w:rsidP="009F19F4">
      <w:pPr>
        <w:autoSpaceDE w:val="0"/>
        <w:autoSpaceDN w:val="0"/>
        <w:adjustRightInd w:val="0"/>
        <w:spacing w:after="0" w:line="240" w:lineRule="auto"/>
        <w:jc w:val="both"/>
        <w:rPr>
          <w:rFonts w:cstheme="minorHAnsi"/>
          <w:sz w:val="20"/>
          <w:szCs w:val="20"/>
        </w:rPr>
      </w:pPr>
      <w:r w:rsidRPr="00270BE3">
        <w:rPr>
          <w:rFonts w:cstheme="minorHAnsi"/>
          <w:sz w:val="20"/>
          <w:szCs w:val="20"/>
        </w:rPr>
        <w:t>Particolarmente rilevante appare anche il contributo dell'Emilia-Romagna, che genera quasi 10 miliardi di euro di valore aggiunto attraverso il Sistema Produttivo Culturale e Creativo e presenta un'incidenza del 5,4%. Anche per le Marche vale lo stesso, grazie ad una incidenza del 5,3% che conferma la capacità dei sistemi produttivi locali di integrare attività culturali, manifattura di qualità e creatività.</w:t>
      </w:r>
    </w:p>
    <w:p w14:paraId="62E4B250" w14:textId="23488BA8" w:rsidR="00774412" w:rsidRPr="00270BE3" w:rsidRDefault="009F19F4" w:rsidP="00774412">
      <w:pPr>
        <w:autoSpaceDE w:val="0"/>
        <w:autoSpaceDN w:val="0"/>
        <w:adjustRightInd w:val="0"/>
        <w:spacing w:after="0" w:line="240" w:lineRule="auto"/>
        <w:jc w:val="both"/>
        <w:rPr>
          <w:rFonts w:cstheme="minorHAnsi"/>
          <w:sz w:val="20"/>
          <w:szCs w:val="20"/>
        </w:rPr>
      </w:pPr>
      <w:r w:rsidRPr="00270BE3">
        <w:rPr>
          <w:rFonts w:cstheme="minorHAnsi"/>
          <w:sz w:val="20"/>
          <w:szCs w:val="20"/>
        </w:rPr>
        <w:t>Nella parte centrale della graduatoria si collocano Friuli-Venezia Giulia, Trentino-Alto Adige</w:t>
      </w:r>
      <w:r w:rsidR="001D705F">
        <w:rPr>
          <w:rFonts w:cstheme="minorHAnsi"/>
          <w:sz w:val="20"/>
          <w:szCs w:val="20"/>
        </w:rPr>
        <w:t>, Campania</w:t>
      </w:r>
      <w:r w:rsidRPr="00270BE3">
        <w:rPr>
          <w:rFonts w:cstheme="minorHAnsi"/>
          <w:sz w:val="20"/>
          <w:szCs w:val="20"/>
        </w:rPr>
        <w:t xml:space="preserve"> e Umbria, territori che, pur presentando dimensioni economiche più contenute, mostrano una significativa capacità di generare valore attraverso le attività culturali e creative. Nel caso del Friuli-Venezia Giulia, in particolare, il Sistema Produttivo Culturale e Creativo incide per il 5,2% sull'economia regionale.</w:t>
      </w:r>
      <w:r w:rsidR="004A194C" w:rsidRPr="00270BE3">
        <w:rPr>
          <w:rFonts w:cstheme="minorHAnsi"/>
          <w:sz w:val="20"/>
          <w:szCs w:val="20"/>
        </w:rPr>
        <w:t xml:space="preserve"> All’interno del panorama meridionale, caratterizzato da livelli di specializzazione generalmente inferiori alla media nazionale, la Campania rappresenta l'eccezione principale, con quasi 5,9 miliardi di euro di valore aggiunto generati dal SPCC e un'incidenza del 4,6%, superiore a quella di diverse regioni del Centro-Nord. Seguono Abruzzo (3,7%), Sicilia (3,6%), Basilicata (3,5%), Puglia (3,4%), Molise e Calabria (3,3%), mentre Sardegna e Valle d'Aosta chiudono la graduatoria con valori inferiori al 3,2%.</w:t>
      </w:r>
      <w:r w:rsidR="003B28BF" w:rsidRPr="00270BE3">
        <w:rPr>
          <w:rFonts w:cstheme="minorHAnsi"/>
          <w:sz w:val="20"/>
          <w:szCs w:val="20"/>
        </w:rPr>
        <w:t xml:space="preserve"> </w:t>
      </w:r>
      <w:r w:rsidR="003B28BF" w:rsidRPr="00270BE3">
        <w:rPr>
          <w:rFonts w:cstheme="minorHAnsi"/>
          <w:b/>
          <w:bCs/>
          <w:sz w:val="20"/>
          <w:szCs w:val="20"/>
        </w:rPr>
        <w:t>Nel Mezzogiorno il settore continua a espandersi a ritmi superiori alla media nazionale nel caso dello SPCC (+3,7%),</w:t>
      </w:r>
      <w:r w:rsidR="003B28BF" w:rsidRPr="00270BE3">
        <w:rPr>
          <w:rFonts w:cstheme="minorHAnsi"/>
          <w:sz w:val="20"/>
          <w:szCs w:val="20"/>
        </w:rPr>
        <w:t xml:space="preserve"> mentre la crescita del </w:t>
      </w:r>
      <w:r w:rsidR="003B28BF" w:rsidRPr="00270BE3">
        <w:rPr>
          <w:rFonts w:cstheme="minorHAnsi"/>
          <w:i/>
          <w:iCs/>
          <w:sz w:val="20"/>
          <w:szCs w:val="20"/>
        </w:rPr>
        <w:t>Core</w:t>
      </w:r>
      <w:r w:rsidR="003B28BF" w:rsidRPr="00270BE3">
        <w:rPr>
          <w:rFonts w:cstheme="minorHAnsi"/>
          <w:sz w:val="20"/>
          <w:szCs w:val="20"/>
        </w:rPr>
        <w:t xml:space="preserve"> Cultura si attesta al +2,8%. Particolarmente brillanti risultano le performance di Campania, Puglia e Abruzzo, a conferma del progressivo rafforzamento delle attività culturali e creative in alcune delle principali economie dell'area. </w:t>
      </w:r>
      <w:r w:rsidR="003B28BF" w:rsidRPr="00270BE3">
        <w:rPr>
          <w:rFonts w:cstheme="minorHAnsi"/>
          <w:b/>
          <w:bCs/>
          <w:sz w:val="20"/>
          <w:szCs w:val="20"/>
        </w:rPr>
        <w:t>La Campania risulta prima in Italia per crescita di imprese culturali e creative nel quinquennio 2021-25 con una crescita del 12,3%</w:t>
      </w:r>
      <w:r w:rsidR="003B28BF" w:rsidRPr="00270BE3">
        <w:rPr>
          <w:rFonts w:cstheme="minorHAnsi"/>
          <w:sz w:val="20"/>
          <w:szCs w:val="20"/>
        </w:rPr>
        <w:t>, seguita da Molise (+11,8%) e Trentino-Alto Adige (+11,7%). Risultati particolarmente rilevanti si osservano anche in Abruzzo (+11,5%), Sicilia (+11,4%), Basilicata (+10,4%) e Calabria (+10,1%), tutte regioni che superano la soglia del 10% di incremento nel quinquennio.</w:t>
      </w:r>
      <w:r w:rsidR="00774412" w:rsidRPr="00270BE3">
        <w:rPr>
          <w:rFonts w:cstheme="minorHAnsi"/>
          <w:sz w:val="20"/>
          <w:szCs w:val="20"/>
        </w:rPr>
        <w:t xml:space="preserve"> Per quanto riguarda il valore aggiunto, </w:t>
      </w:r>
      <w:r w:rsidR="00774412" w:rsidRPr="00270BE3">
        <w:rPr>
          <w:rFonts w:cstheme="minorHAnsi"/>
          <w:b/>
          <w:bCs/>
          <w:sz w:val="20"/>
          <w:szCs w:val="20"/>
        </w:rPr>
        <w:t xml:space="preserve">Milano </w:t>
      </w:r>
      <w:r w:rsidR="00774412" w:rsidRPr="00270BE3">
        <w:rPr>
          <w:rFonts w:cstheme="minorHAnsi"/>
          <w:sz w:val="20"/>
          <w:szCs w:val="20"/>
        </w:rPr>
        <w:t xml:space="preserve">guida la graduatoria nazionale con un'incidenza del Sistema Produttivo Culturale e Creativo pari al 10,1% dell'economia provinciale, seguita da </w:t>
      </w:r>
      <w:r w:rsidR="00774412" w:rsidRPr="00270BE3">
        <w:rPr>
          <w:rFonts w:cstheme="minorHAnsi"/>
          <w:b/>
          <w:bCs/>
          <w:sz w:val="20"/>
          <w:szCs w:val="20"/>
        </w:rPr>
        <w:t xml:space="preserve">Roma </w:t>
      </w:r>
      <w:r w:rsidR="00774412" w:rsidRPr="00270BE3">
        <w:rPr>
          <w:rFonts w:cstheme="minorHAnsi"/>
          <w:sz w:val="20"/>
          <w:szCs w:val="20"/>
        </w:rPr>
        <w:t>(9,0%) e</w:t>
      </w:r>
      <w:r w:rsidR="00774412" w:rsidRPr="00270BE3">
        <w:rPr>
          <w:rFonts w:cstheme="minorHAnsi"/>
          <w:b/>
          <w:bCs/>
          <w:sz w:val="20"/>
          <w:szCs w:val="20"/>
        </w:rPr>
        <w:t xml:space="preserve"> Torino</w:t>
      </w:r>
      <w:r w:rsidR="00774412" w:rsidRPr="00270BE3">
        <w:rPr>
          <w:rFonts w:cstheme="minorHAnsi"/>
          <w:sz w:val="20"/>
          <w:szCs w:val="20"/>
        </w:rPr>
        <w:t xml:space="preserve"> (8,4%). Completano le prime posizioni </w:t>
      </w:r>
      <w:r w:rsidR="00774412" w:rsidRPr="00270BE3">
        <w:rPr>
          <w:rFonts w:cstheme="minorHAnsi"/>
          <w:b/>
          <w:bCs/>
          <w:sz w:val="20"/>
          <w:szCs w:val="20"/>
        </w:rPr>
        <w:t>Arezzo</w:t>
      </w:r>
      <w:r w:rsidR="00774412" w:rsidRPr="00270BE3">
        <w:rPr>
          <w:rFonts w:cstheme="minorHAnsi"/>
          <w:sz w:val="20"/>
          <w:szCs w:val="20"/>
        </w:rPr>
        <w:t xml:space="preserve"> (8,1%), </w:t>
      </w:r>
      <w:r w:rsidR="00774412" w:rsidRPr="00270BE3">
        <w:rPr>
          <w:rFonts w:cstheme="minorHAnsi"/>
          <w:b/>
          <w:bCs/>
          <w:sz w:val="20"/>
          <w:szCs w:val="20"/>
        </w:rPr>
        <w:t>Firenze</w:t>
      </w:r>
      <w:r w:rsidR="00774412" w:rsidRPr="00270BE3">
        <w:rPr>
          <w:rFonts w:cstheme="minorHAnsi"/>
          <w:sz w:val="20"/>
          <w:szCs w:val="20"/>
        </w:rPr>
        <w:t xml:space="preserve"> (7,6%) e </w:t>
      </w:r>
      <w:r w:rsidR="00774412" w:rsidRPr="00270BE3">
        <w:rPr>
          <w:rFonts w:cstheme="minorHAnsi"/>
          <w:b/>
          <w:bCs/>
          <w:sz w:val="20"/>
          <w:szCs w:val="20"/>
        </w:rPr>
        <w:t>Vicenza</w:t>
      </w:r>
      <w:r w:rsidR="00774412" w:rsidRPr="00270BE3">
        <w:rPr>
          <w:rFonts w:cstheme="minorHAnsi"/>
          <w:sz w:val="20"/>
          <w:szCs w:val="20"/>
        </w:rPr>
        <w:t xml:space="preserve"> (6,8%), a testimonianza di come accanto ai grandi centri metropolitani trovino spazio territori caratterizzati da una forte integrazione tra cultura, creatività e specializzazioni manifatturiere.</w:t>
      </w:r>
    </w:p>
    <w:p w14:paraId="7A998A30" w14:textId="77777777" w:rsidR="00774412" w:rsidRPr="00270BE3" w:rsidRDefault="00774412" w:rsidP="00774412">
      <w:pPr>
        <w:autoSpaceDE w:val="0"/>
        <w:autoSpaceDN w:val="0"/>
        <w:adjustRightInd w:val="0"/>
        <w:spacing w:after="0" w:line="240" w:lineRule="auto"/>
        <w:jc w:val="both"/>
        <w:rPr>
          <w:rFonts w:cstheme="minorHAnsi"/>
          <w:sz w:val="20"/>
          <w:szCs w:val="20"/>
        </w:rPr>
      </w:pPr>
      <w:r w:rsidRPr="00270BE3">
        <w:rPr>
          <w:rFonts w:cstheme="minorHAnsi"/>
          <w:sz w:val="20"/>
          <w:szCs w:val="20"/>
        </w:rPr>
        <w:t xml:space="preserve">Anche sul fronte occupazionale la graduatoria evidenzia una significativa concentrazione nelle principali aree urbane. Milano si conferma al primo posto con un'incidenza pari al 10,0%, seguita da Firenze (8,5%), Roma (8,4%), Arezzo (8,2%) e Torino (8,0%). </w:t>
      </w:r>
    </w:p>
    <w:p w14:paraId="6039B023" w14:textId="77777777" w:rsidR="00A962B6" w:rsidRPr="00270BE3" w:rsidRDefault="00A962B6" w:rsidP="00DC0DF2">
      <w:pPr>
        <w:pStyle w:val="Default"/>
        <w:jc w:val="both"/>
        <w:rPr>
          <w:rFonts w:asciiTheme="minorHAnsi" w:eastAsia="AktivGrotesk-Regular" w:hAnsiTheme="minorHAnsi" w:cstheme="minorHAnsi"/>
          <w:b/>
          <w:bCs/>
          <w:sz w:val="20"/>
          <w:szCs w:val="20"/>
        </w:rPr>
      </w:pPr>
    </w:p>
    <w:p w14:paraId="7496722D" w14:textId="16AF9EA9" w:rsidR="00FE1132" w:rsidRPr="00270BE3" w:rsidRDefault="009F4788" w:rsidP="00FE1132">
      <w:pPr>
        <w:jc w:val="both"/>
        <w:rPr>
          <w:rFonts w:cstheme="minorHAnsi"/>
          <w:sz w:val="20"/>
          <w:szCs w:val="20"/>
        </w:rPr>
      </w:pPr>
      <w:r w:rsidRPr="00270BE3">
        <w:rPr>
          <w:rFonts w:cstheme="minorHAnsi"/>
          <w:sz w:val="20"/>
          <w:szCs w:val="20"/>
        </w:rPr>
        <w:t xml:space="preserve">“La forza della nostra economia e del made in Italy - dichiara </w:t>
      </w:r>
      <w:r w:rsidRPr="00270BE3">
        <w:rPr>
          <w:rFonts w:cstheme="minorHAnsi"/>
          <w:b/>
          <w:bCs/>
          <w:sz w:val="20"/>
          <w:szCs w:val="20"/>
        </w:rPr>
        <w:t xml:space="preserve">Ermete Realacci, </w:t>
      </w:r>
      <w:r w:rsidR="00C41691" w:rsidRPr="00270BE3">
        <w:rPr>
          <w:rFonts w:cstheme="minorHAnsi"/>
          <w:b/>
          <w:bCs/>
          <w:sz w:val="20"/>
          <w:szCs w:val="20"/>
        </w:rPr>
        <w:t>p</w:t>
      </w:r>
      <w:r w:rsidRPr="00270BE3">
        <w:rPr>
          <w:rFonts w:cstheme="minorHAnsi"/>
          <w:b/>
          <w:bCs/>
          <w:sz w:val="20"/>
          <w:szCs w:val="20"/>
        </w:rPr>
        <w:t>residente della Fondazione Symbola</w:t>
      </w:r>
      <w:r w:rsidRPr="00270BE3">
        <w:rPr>
          <w:rFonts w:cstheme="minorHAnsi"/>
          <w:sz w:val="20"/>
          <w:szCs w:val="20"/>
        </w:rPr>
        <w:t xml:space="preserve"> – deve molto, in tutti i campi, alla cultura e alla bellezza. Più che in altri Paesi. Cultura e creatività oltre ad arricchire la nostra identità e alimentare la domanda di Italia nel mondo, possono aiutarci ad affrontare insieme, senza paura, le difficili sfide che abbiamo davanti. A partire dalla crisi climatica. </w:t>
      </w:r>
      <w:r w:rsidR="00FE1132" w:rsidRPr="00270BE3">
        <w:rPr>
          <w:rFonts w:cstheme="minorHAnsi"/>
          <w:sz w:val="20"/>
          <w:szCs w:val="20"/>
        </w:rPr>
        <w:t xml:space="preserve">L’Italia, forte di oltre un milione e mezzo di addetti culturali e creativi può offrire un contributo importante ad una transizione verde e digitale. </w:t>
      </w:r>
      <w:r w:rsidR="001A2E3E" w:rsidRPr="00270BE3">
        <w:rPr>
          <w:rFonts w:cstheme="minorHAnsi"/>
          <w:sz w:val="20"/>
          <w:szCs w:val="20"/>
        </w:rPr>
        <w:t>Spostando le produzioni verso la qualità aumenta</w:t>
      </w:r>
      <w:r w:rsidR="006D46E7" w:rsidRPr="00270BE3">
        <w:rPr>
          <w:rFonts w:cstheme="minorHAnsi"/>
          <w:sz w:val="20"/>
          <w:szCs w:val="20"/>
        </w:rPr>
        <w:t xml:space="preserve"> infatti</w:t>
      </w:r>
      <w:r w:rsidR="001A2E3E" w:rsidRPr="00270BE3">
        <w:rPr>
          <w:rFonts w:cstheme="minorHAnsi"/>
          <w:sz w:val="20"/>
          <w:szCs w:val="20"/>
        </w:rPr>
        <w:t xml:space="preserve"> il valore </w:t>
      </w:r>
      <w:r w:rsidR="006D46E7" w:rsidRPr="00270BE3">
        <w:rPr>
          <w:rFonts w:cstheme="minorHAnsi"/>
          <w:sz w:val="20"/>
          <w:szCs w:val="20"/>
        </w:rPr>
        <w:t xml:space="preserve">e </w:t>
      </w:r>
      <w:r w:rsidR="001A2E3E" w:rsidRPr="00270BE3">
        <w:rPr>
          <w:rFonts w:cstheme="minorHAnsi"/>
          <w:sz w:val="20"/>
          <w:szCs w:val="20"/>
        </w:rPr>
        <w:t>dimin</w:t>
      </w:r>
      <w:r w:rsidR="0095162B" w:rsidRPr="00270BE3">
        <w:rPr>
          <w:rFonts w:cstheme="minorHAnsi"/>
          <w:sz w:val="20"/>
          <w:szCs w:val="20"/>
        </w:rPr>
        <w:t>uisce il consumo di energia e materie prime riducendo le emissioni di CO2</w:t>
      </w:r>
      <w:r w:rsidR="006D46E7" w:rsidRPr="00270BE3">
        <w:rPr>
          <w:rFonts w:cstheme="minorHAnsi"/>
          <w:sz w:val="20"/>
          <w:szCs w:val="20"/>
        </w:rPr>
        <w:t>: u</w:t>
      </w:r>
      <w:r w:rsidR="00FE1132" w:rsidRPr="00270BE3">
        <w:rPr>
          <w:rFonts w:cstheme="minorHAnsi"/>
          <w:sz w:val="20"/>
          <w:szCs w:val="20"/>
        </w:rPr>
        <w:t>n’economia più a misura d’uomo e per questo più competitiva e più capace di futuro come sostiene il Manifesto di Assisi. Anche da questo deriva la forza del nostro export. Come più volte sottolineato dal presidente della Repubblica Sergio Mattarella ‘la cultura non rappresenta un lusso superfluo, ma un autentico asset competitivo’”.</w:t>
      </w:r>
    </w:p>
    <w:p w14:paraId="05D550F2" w14:textId="4F8740E9" w:rsidR="00977E4C" w:rsidRDefault="00977E4C" w:rsidP="00493ED4">
      <w:pPr>
        <w:spacing w:before="360" w:after="0"/>
        <w:jc w:val="both"/>
        <w:rPr>
          <w:rFonts w:cstheme="minorHAnsi"/>
          <w:b/>
          <w:bCs/>
          <w:sz w:val="20"/>
          <w:szCs w:val="20"/>
        </w:rPr>
      </w:pPr>
      <w:r w:rsidRPr="00977E4C">
        <w:rPr>
          <w:rFonts w:cstheme="minorHAnsi"/>
          <w:sz w:val="20"/>
          <w:szCs w:val="20"/>
        </w:rPr>
        <w:t xml:space="preserve">“La creatività non è soltanto un patrimonio identitario dell'Italia: è una leva strategica di competitività per il nostro sistema produttivo. Il Rapporto Io sono Cultura lo dimostra con chiarezza: il valore della cultura si estende ben oltre i confini delle industrie culturali e creative, alimentando innovazione, qualità e capacità di competere in molti comparti dell'economia. È così nel turismo, dove la componente culturale genera oltre il 40% delle presenze e più della metà della spesa complessiva, grazie a un'offerta sempre più orientata all'esperienza. Ed è così nella manifattura e nell'artigianato di qualità, dove design, creatività e saper fare rappresentano il tratto distintivo che rende il Made in Italy riconoscibile </w:t>
      </w:r>
      <w:r w:rsidRPr="00977E4C">
        <w:rPr>
          <w:rFonts w:cstheme="minorHAnsi"/>
          <w:sz w:val="20"/>
          <w:szCs w:val="20"/>
        </w:rPr>
        <w:lastRenderedPageBreak/>
        <w:t xml:space="preserve">e apprezzato nel mondo. Investire nella cultura significa quindi investire nella crescita, nell'innovazione e nella competitività del Paese” </w:t>
      </w:r>
      <w:r w:rsidRPr="00977E4C">
        <w:rPr>
          <w:rFonts w:cstheme="minorHAnsi"/>
          <w:b/>
          <w:bCs/>
          <w:sz w:val="20"/>
          <w:szCs w:val="20"/>
        </w:rPr>
        <w:t xml:space="preserve">dichiara Andrea Prete, presidente di Unioncamere </w:t>
      </w:r>
    </w:p>
    <w:p w14:paraId="56F92888" w14:textId="45D48A95" w:rsidR="002D251E" w:rsidRPr="00270BE3" w:rsidRDefault="002D251E" w:rsidP="00493ED4">
      <w:pPr>
        <w:spacing w:before="360" w:after="0"/>
        <w:jc w:val="both"/>
        <w:rPr>
          <w:rFonts w:cstheme="minorHAnsi"/>
          <w:sz w:val="20"/>
          <w:szCs w:val="20"/>
        </w:rPr>
      </w:pPr>
      <w:r w:rsidRPr="00270BE3">
        <w:rPr>
          <w:rFonts w:cstheme="minorHAnsi"/>
          <w:sz w:val="20"/>
          <w:szCs w:val="20"/>
        </w:rPr>
        <w:t xml:space="preserve">“In un contesto di vita collettiva caratterizzato da conflitti internazionali – dichiara </w:t>
      </w:r>
      <w:r w:rsidRPr="00270BE3">
        <w:rPr>
          <w:rFonts w:cstheme="minorHAnsi"/>
          <w:b/>
          <w:bCs/>
          <w:sz w:val="20"/>
          <w:szCs w:val="20"/>
        </w:rPr>
        <w:t xml:space="preserve">Ernesto Lanzillo, </w:t>
      </w:r>
      <w:r w:rsidR="008042F7" w:rsidRPr="00270BE3">
        <w:rPr>
          <w:rFonts w:cstheme="minorHAnsi"/>
          <w:b/>
          <w:bCs/>
          <w:sz w:val="20"/>
          <w:szCs w:val="20"/>
        </w:rPr>
        <w:t>p</w:t>
      </w:r>
      <w:r w:rsidRPr="00270BE3">
        <w:rPr>
          <w:rFonts w:cstheme="minorHAnsi"/>
          <w:b/>
          <w:bCs/>
          <w:sz w:val="20"/>
          <w:szCs w:val="20"/>
        </w:rPr>
        <w:t xml:space="preserve">residente Deloitte &amp; Touche S.p.a. </w:t>
      </w:r>
      <w:r w:rsidRPr="00270BE3">
        <w:rPr>
          <w:rFonts w:cstheme="minorHAnsi"/>
          <w:sz w:val="20"/>
          <w:szCs w:val="20"/>
        </w:rPr>
        <w:t xml:space="preserve">- profonde trasformazioni legate all’evoluzione tecnologica e alla diffusione dell'intelligenza artificiale con impatto sulle relazioni umane, gli stili comunicativi e la formazione, la cultura non rappresenta soltanto un patrimonio da tutelare o un settore da sostenere: è una risorsa strategica per rafforzare il pensiero critico, promuovere il dialogo, valorizzare la diversità e costruire società più inclusive. Proprio mentre le tecnologie ampliano le possibilità di accesso e produzione della conoscenza, cresce il ruolo insostituibile della cultura nel fornire gli strumenti per interpretare la complessità e orientare il cambiamento. Per questo, misurare gli impatti della cultura, economici e non solo, significa rendere visibile il suo contributo allo sviluppo economico, sociale e democratico del Paese”. </w:t>
      </w:r>
    </w:p>
    <w:p w14:paraId="6AED7971" w14:textId="46C46EA4" w:rsidR="0005608A" w:rsidRDefault="009920D8" w:rsidP="00493ED4">
      <w:pPr>
        <w:spacing w:before="360" w:after="0"/>
        <w:jc w:val="both"/>
        <w:rPr>
          <w:rFonts w:cstheme="minorHAnsi"/>
          <w:b/>
          <w:bCs/>
          <w:color w:val="000000"/>
          <w:sz w:val="20"/>
          <w:szCs w:val="20"/>
          <w:shd w:val="clear" w:color="auto" w:fill="FFFFFF"/>
        </w:rPr>
      </w:pPr>
      <w:r w:rsidRPr="00270BE3">
        <w:rPr>
          <w:rFonts w:cstheme="minorHAnsi"/>
          <w:b/>
          <w:bCs/>
          <w:color w:val="000000"/>
          <w:sz w:val="20"/>
          <w:szCs w:val="20"/>
          <w:shd w:val="clear" w:color="auto" w:fill="FFFFFF"/>
        </w:rPr>
        <w:t>Fornasetti rinnova per il sedicesimo anno la sua partnership con Fondazione Symbola dando, ancora una volta un volto alla copertina del suo rapporto annuale </w:t>
      </w:r>
      <w:r w:rsidRPr="00270BE3">
        <w:rPr>
          <w:rFonts w:cstheme="minorHAnsi"/>
          <w:b/>
          <w:bCs/>
          <w:i/>
          <w:iCs/>
          <w:color w:val="000000"/>
          <w:sz w:val="20"/>
          <w:szCs w:val="20"/>
          <w:shd w:val="clear" w:color="auto" w:fill="FFFFFF"/>
        </w:rPr>
        <w:t>Io sono Cultura</w:t>
      </w:r>
      <w:r w:rsidRPr="00270BE3">
        <w:rPr>
          <w:rFonts w:cstheme="minorHAnsi"/>
          <w:b/>
          <w:bCs/>
          <w:color w:val="000000"/>
          <w:sz w:val="20"/>
          <w:szCs w:val="20"/>
          <w:shd w:val="clear" w:color="auto" w:fill="FFFFFF"/>
        </w:rPr>
        <w:t>. Una scelta che va ben oltre la grafica e l’Art Direction e che trova la sua ragion d’essere in una vera e propria comunione d’intenti. Fornasetti è un’impresa artistica e un attore culturale, e vede radicati in Fondazione Symbola alcuni dei valori più sentiti dall’Atelier, la valorizzazione della creatività e della cultura, valori che, grazie a Io sono Cultura, si riappropriano del giusto merito che spetta loro nel contesto sociale. Questa immagine</w:t>
      </w:r>
      <w:r w:rsidR="00544370" w:rsidRPr="00270BE3">
        <w:rPr>
          <w:rFonts w:cstheme="minorHAnsi"/>
          <w:b/>
          <w:bCs/>
          <w:color w:val="000000"/>
          <w:sz w:val="20"/>
          <w:szCs w:val="20"/>
          <w:shd w:val="clear" w:color="auto" w:fill="FFFFFF"/>
        </w:rPr>
        <w:t xml:space="preserve"> (n.403)</w:t>
      </w:r>
      <w:r w:rsidRPr="00270BE3">
        <w:rPr>
          <w:rFonts w:cstheme="minorHAnsi"/>
          <w:b/>
          <w:bCs/>
          <w:color w:val="000000"/>
          <w:sz w:val="20"/>
          <w:szCs w:val="20"/>
          <w:shd w:val="clear" w:color="auto" w:fill="FFFFFF"/>
        </w:rPr>
        <w:t xml:space="preserve"> mostra il celebre volto della musa di Fornasetti – la cantante lirica Lina Cavalieri – che lascia intravedere i suoi lineamenti all’interno del simbolo della pace. Parte di una serie speciale di tre piatti nata nel 2022, l’opera trasforma il concetto di pace in un valore quotidiano, intimo e da coltivare ogni giorno. Un potente messaggio di armonia globale, un invito silenzioso, a ritrovare l’equilibrio attraverso la forza dell'arte e della cultura.</w:t>
      </w:r>
    </w:p>
    <w:p w14:paraId="706BDC0C" w14:textId="77777777" w:rsidR="000964CC" w:rsidRDefault="000964CC" w:rsidP="000964CC">
      <w:pPr>
        <w:jc w:val="both"/>
        <w:rPr>
          <w:rFonts w:cstheme="minorHAnsi"/>
          <w:b/>
          <w:bCs/>
          <w:color w:val="000000"/>
          <w:sz w:val="20"/>
          <w:szCs w:val="20"/>
          <w:shd w:val="clear" w:color="auto" w:fill="FFFFFF"/>
        </w:rPr>
      </w:pPr>
    </w:p>
    <w:p w14:paraId="1E5C71F8" w14:textId="10177EE5" w:rsidR="000964CC" w:rsidRDefault="000964CC" w:rsidP="000964CC">
      <w:pPr>
        <w:jc w:val="both"/>
        <w:rPr>
          <w:rFonts w:ascii="Arial" w:eastAsia="Times New Roman" w:hAnsi="Arial" w:cs="Arial"/>
          <w:b/>
          <w:bCs/>
          <w:sz w:val="18"/>
          <w:szCs w:val="18"/>
          <w:lang w:eastAsia="it-IT"/>
        </w:rPr>
      </w:pPr>
      <w:r w:rsidRPr="00C07FB1">
        <w:rPr>
          <w:rFonts w:ascii="Arial" w:eastAsia="Times New Roman" w:hAnsi="Arial" w:cs="Arial"/>
          <w:b/>
          <w:bCs/>
          <w:sz w:val="18"/>
          <w:szCs w:val="18"/>
          <w:lang w:eastAsia="it-IT"/>
        </w:rPr>
        <w:t>UMBRIA</w:t>
      </w:r>
    </w:p>
    <w:p w14:paraId="4A34BC02" w14:textId="77777777" w:rsidR="000964CC" w:rsidRDefault="000964CC" w:rsidP="000964CC">
      <w:pPr>
        <w:jc w:val="both"/>
        <w:rPr>
          <w:rFonts w:ascii="Arial" w:eastAsia="Times New Roman" w:hAnsi="Arial" w:cs="Arial"/>
          <w:b/>
          <w:bCs/>
          <w:sz w:val="18"/>
          <w:szCs w:val="18"/>
          <w:lang w:eastAsia="it-IT"/>
        </w:rPr>
      </w:pPr>
      <w:r w:rsidRPr="00C07FB1">
        <w:rPr>
          <w:rFonts w:ascii="Arial" w:eastAsia="Times New Roman" w:hAnsi="Arial" w:cs="Arial"/>
          <w:b/>
          <w:bCs/>
          <w:sz w:val="18"/>
          <w:szCs w:val="18"/>
          <w:lang w:eastAsia="it-IT"/>
        </w:rPr>
        <w:t xml:space="preserve">Il Sistema Produttivo Culturale e Creativo dell’Umbria produce </w:t>
      </w:r>
      <w:r>
        <w:rPr>
          <w:rFonts w:ascii="Arial" w:eastAsia="Times New Roman" w:hAnsi="Arial" w:cs="Arial"/>
          <w:b/>
          <w:bCs/>
          <w:sz w:val="18"/>
          <w:szCs w:val="18"/>
          <w:lang w:eastAsia="it-IT"/>
        </w:rPr>
        <w:t>1.105</w:t>
      </w:r>
      <w:r w:rsidRPr="00C07FB1">
        <w:rPr>
          <w:rFonts w:ascii="Arial" w:eastAsia="Times New Roman" w:hAnsi="Arial" w:cs="Arial"/>
          <w:b/>
          <w:bCs/>
          <w:sz w:val="18"/>
          <w:szCs w:val="18"/>
          <w:lang w:eastAsia="it-IT"/>
        </w:rPr>
        <w:t xml:space="preserve"> milioni di valore aggiunto e </w:t>
      </w:r>
      <w:r>
        <w:rPr>
          <w:rFonts w:ascii="Arial" w:eastAsia="Times New Roman" w:hAnsi="Arial" w:cs="Arial"/>
          <w:b/>
          <w:bCs/>
          <w:sz w:val="18"/>
          <w:szCs w:val="18"/>
          <w:lang w:eastAsia="it-IT"/>
        </w:rPr>
        <w:t>19.081</w:t>
      </w:r>
      <w:r w:rsidRPr="00C07FB1">
        <w:rPr>
          <w:rFonts w:ascii="Arial" w:eastAsia="Times New Roman" w:hAnsi="Arial" w:cs="Arial"/>
          <w:b/>
          <w:bCs/>
          <w:sz w:val="18"/>
          <w:szCs w:val="18"/>
          <w:lang w:eastAsia="it-IT"/>
        </w:rPr>
        <w:t xml:space="preserve"> occupati. Su base provinciale, Perugia con </w:t>
      </w:r>
      <w:r>
        <w:rPr>
          <w:rFonts w:ascii="Arial" w:eastAsia="Times New Roman" w:hAnsi="Arial" w:cs="Arial"/>
          <w:b/>
          <w:bCs/>
          <w:sz w:val="18"/>
          <w:szCs w:val="18"/>
          <w:lang w:eastAsia="it-IT"/>
        </w:rPr>
        <w:t xml:space="preserve">888 </w:t>
      </w:r>
      <w:r w:rsidRPr="00C07FB1">
        <w:rPr>
          <w:rFonts w:ascii="Arial" w:eastAsia="Times New Roman" w:hAnsi="Arial" w:cs="Arial"/>
          <w:b/>
          <w:bCs/>
          <w:sz w:val="18"/>
          <w:szCs w:val="18"/>
          <w:lang w:eastAsia="it-IT"/>
        </w:rPr>
        <w:t xml:space="preserve">milioni di valore aggiunto e </w:t>
      </w:r>
      <w:r>
        <w:rPr>
          <w:rFonts w:ascii="Arial" w:eastAsia="Times New Roman" w:hAnsi="Arial" w:cs="Arial"/>
          <w:b/>
          <w:bCs/>
          <w:sz w:val="18"/>
          <w:szCs w:val="18"/>
          <w:lang w:eastAsia="it-IT"/>
        </w:rPr>
        <w:t>14.963</w:t>
      </w:r>
      <w:r w:rsidRPr="00C07FB1">
        <w:rPr>
          <w:rFonts w:ascii="Arial" w:eastAsia="Times New Roman" w:hAnsi="Arial" w:cs="Arial"/>
          <w:b/>
          <w:bCs/>
          <w:sz w:val="18"/>
          <w:szCs w:val="18"/>
          <w:lang w:eastAsia="it-IT"/>
        </w:rPr>
        <w:t xml:space="preserve"> occupati; Terni con </w:t>
      </w:r>
      <w:r>
        <w:rPr>
          <w:rFonts w:ascii="Arial" w:eastAsia="Times New Roman" w:hAnsi="Arial" w:cs="Arial"/>
          <w:b/>
          <w:bCs/>
          <w:sz w:val="18"/>
          <w:szCs w:val="18"/>
          <w:lang w:eastAsia="it-IT"/>
        </w:rPr>
        <w:t>217</w:t>
      </w:r>
      <w:r w:rsidRPr="00C07FB1">
        <w:rPr>
          <w:rFonts w:ascii="Arial" w:eastAsia="Times New Roman" w:hAnsi="Arial" w:cs="Arial"/>
          <w:b/>
          <w:bCs/>
          <w:sz w:val="18"/>
          <w:szCs w:val="18"/>
          <w:lang w:eastAsia="it-IT"/>
        </w:rPr>
        <w:t xml:space="preserve"> milioni di valore aggiunto e </w:t>
      </w:r>
      <w:r>
        <w:rPr>
          <w:rFonts w:ascii="Arial" w:eastAsia="Times New Roman" w:hAnsi="Arial" w:cs="Arial"/>
          <w:b/>
          <w:bCs/>
          <w:sz w:val="18"/>
          <w:szCs w:val="18"/>
          <w:lang w:eastAsia="it-IT"/>
        </w:rPr>
        <w:t>4.118</w:t>
      </w:r>
      <w:r w:rsidRPr="00C07FB1">
        <w:rPr>
          <w:rFonts w:ascii="Arial" w:eastAsia="Times New Roman" w:hAnsi="Arial" w:cs="Arial"/>
          <w:b/>
          <w:bCs/>
          <w:sz w:val="18"/>
          <w:szCs w:val="18"/>
          <w:lang w:eastAsia="it-IT"/>
        </w:rPr>
        <w:t xml:space="preserve"> occupati. </w:t>
      </w:r>
    </w:p>
    <w:p w14:paraId="380E0C2A" w14:textId="5A7F9113" w:rsidR="00493ED4" w:rsidRPr="00270BE3" w:rsidRDefault="002C5116" w:rsidP="00493ED4">
      <w:pPr>
        <w:spacing w:before="360" w:after="0"/>
        <w:jc w:val="both"/>
        <w:rPr>
          <w:rFonts w:cstheme="minorHAnsi"/>
          <w:b/>
          <w:bCs/>
          <w:color w:val="000000"/>
          <w:sz w:val="20"/>
          <w:szCs w:val="20"/>
          <w:shd w:val="clear" w:color="auto" w:fill="FFFFFF"/>
        </w:rPr>
      </w:pPr>
      <w:r w:rsidRPr="00270BE3">
        <w:rPr>
          <w:rFonts w:eastAsia="AktivGrotesk-Regular" w:cstheme="minorHAnsi"/>
          <w:i/>
          <w:iCs/>
          <w:sz w:val="20"/>
          <w:szCs w:val="20"/>
        </w:rPr>
        <w:t>Io Sono Cultura</w:t>
      </w:r>
      <w:r w:rsidRPr="00270BE3">
        <w:rPr>
          <w:rFonts w:eastAsia="AktivGrotesk-Regular" w:cstheme="minorHAnsi"/>
          <w:sz w:val="20"/>
          <w:szCs w:val="20"/>
        </w:rPr>
        <w:t xml:space="preserve"> permette di analizzare l’evoluzione della filiera in termini di produzione di ricchezza e creazione di posti di lavoro.</w:t>
      </w:r>
      <w:r w:rsidR="00FA0EAF" w:rsidRPr="00270BE3">
        <w:rPr>
          <w:rFonts w:eastAsia="AktivGrotesk-Regular" w:cstheme="minorHAnsi"/>
          <w:sz w:val="20"/>
          <w:szCs w:val="20"/>
        </w:rPr>
        <w:t xml:space="preserve"> </w:t>
      </w:r>
      <w:r w:rsidR="00493ED4" w:rsidRPr="00270BE3">
        <w:rPr>
          <w:rFonts w:eastAsia="Times New Roman" w:cstheme="minorHAnsi"/>
          <w:sz w:val="20"/>
          <w:szCs w:val="20"/>
          <w:lang w:eastAsia="it-IT"/>
        </w:rPr>
        <w:t>Negli ultimi anni, il settore culturale e creativo ha mostrato una ripresa significativa, con una crescita costante in termini di valore aggiunto e di occupazione. Tuttavia, l'andamento non è stato uniforme</w:t>
      </w:r>
      <w:r w:rsidR="00493ED4" w:rsidRPr="00270BE3">
        <w:rPr>
          <w:rFonts w:eastAsia="Times New Roman" w:cstheme="minorHAnsi"/>
          <w:b/>
          <w:bCs/>
          <w:sz w:val="20"/>
          <w:szCs w:val="20"/>
          <w:lang w:eastAsia="it-IT"/>
        </w:rPr>
        <w:t xml:space="preserve"> </w:t>
      </w:r>
      <w:r w:rsidR="00493ED4" w:rsidRPr="00270BE3">
        <w:rPr>
          <w:rFonts w:eastAsia="Times New Roman" w:cstheme="minorHAnsi"/>
          <w:sz w:val="20"/>
          <w:szCs w:val="20"/>
          <w:lang w:eastAsia="it-IT"/>
        </w:rPr>
        <w:t>tra i vari settori: ve ne sono alcuni che hanno registrato incrementi più marcati di altri e settori che hanno subito delle contrazioni. L'analisi dei dati del 202</w:t>
      </w:r>
      <w:r w:rsidR="000D081C" w:rsidRPr="00270BE3">
        <w:rPr>
          <w:rFonts w:eastAsia="Times New Roman" w:cstheme="minorHAnsi"/>
          <w:sz w:val="20"/>
          <w:szCs w:val="20"/>
          <w:lang w:eastAsia="it-IT"/>
        </w:rPr>
        <w:t>5</w:t>
      </w:r>
      <w:r w:rsidR="00493ED4" w:rsidRPr="00270BE3">
        <w:rPr>
          <w:rFonts w:eastAsia="Times New Roman" w:cstheme="minorHAnsi"/>
          <w:sz w:val="20"/>
          <w:szCs w:val="20"/>
          <w:lang w:eastAsia="it-IT"/>
        </w:rPr>
        <w:t xml:space="preserve"> evidenzia una trasformazione del panorama culturale e creativo italiano, con una crescente digitalizzazione e una ridefinizione delle dinamiche occupazionali.</w:t>
      </w:r>
    </w:p>
    <w:p w14:paraId="1840E54F" w14:textId="1C9E5844" w:rsidR="000224E2" w:rsidRPr="00270BE3" w:rsidRDefault="000224E2" w:rsidP="000224E2">
      <w:pPr>
        <w:spacing w:after="0"/>
        <w:jc w:val="both"/>
        <w:rPr>
          <w:rFonts w:eastAsia="Times New Roman" w:cstheme="minorHAnsi"/>
          <w:sz w:val="20"/>
          <w:szCs w:val="20"/>
          <w:lang w:eastAsia="it-IT"/>
        </w:rPr>
      </w:pPr>
      <w:r w:rsidRPr="00270BE3">
        <w:rPr>
          <w:rFonts w:eastAsia="Times New Roman" w:cstheme="minorHAnsi"/>
          <w:sz w:val="20"/>
          <w:szCs w:val="20"/>
          <w:lang w:eastAsia="it-IT"/>
        </w:rPr>
        <w:t xml:space="preserve">Nel 2025 il comparto dei </w:t>
      </w:r>
      <w:r w:rsidRPr="00270BE3">
        <w:rPr>
          <w:rFonts w:eastAsia="Times New Roman" w:cstheme="minorHAnsi"/>
          <w:b/>
          <w:bCs/>
          <w:i/>
          <w:iCs/>
          <w:sz w:val="20"/>
          <w:szCs w:val="20"/>
          <w:lang w:eastAsia="it-IT"/>
        </w:rPr>
        <w:t>Software e videogiochi</w:t>
      </w:r>
      <w:r w:rsidRPr="00270BE3">
        <w:rPr>
          <w:rFonts w:eastAsia="Times New Roman" w:cstheme="minorHAnsi"/>
          <w:sz w:val="20"/>
          <w:szCs w:val="20"/>
          <w:lang w:eastAsia="it-IT"/>
        </w:rPr>
        <w:t xml:space="preserve"> si conferma il principale generatore di valore aggiunto del Core Cultura, con 18,6 miliardi di euro prodotti e un'incidenza del 27,8%. Seguono </w:t>
      </w:r>
      <w:r w:rsidRPr="00270BE3">
        <w:rPr>
          <w:rFonts w:eastAsia="Times New Roman" w:cstheme="minorHAnsi"/>
          <w:b/>
          <w:bCs/>
          <w:i/>
          <w:iCs/>
          <w:sz w:val="20"/>
          <w:szCs w:val="20"/>
          <w:lang w:eastAsia="it-IT"/>
        </w:rPr>
        <w:t xml:space="preserve">l'Editoria e stampa e l'Architettura e design, </w:t>
      </w:r>
      <w:r w:rsidRPr="00270BE3">
        <w:rPr>
          <w:rFonts w:eastAsia="Times New Roman" w:cstheme="minorHAnsi"/>
          <w:sz w:val="20"/>
          <w:szCs w:val="20"/>
          <w:lang w:eastAsia="it-IT"/>
        </w:rPr>
        <w:t>che generano rispettivamente 11,5 e 11,2 miliardi di euro e rappresentano insieme oltre un terzo della ricchezza prodotta dal Core Cultura. Un contributo rilevante proviene inoltre dall'</w:t>
      </w:r>
      <w:r w:rsidRPr="00270BE3">
        <w:rPr>
          <w:rFonts w:eastAsia="Times New Roman" w:cstheme="minorHAnsi"/>
          <w:b/>
          <w:bCs/>
          <w:i/>
          <w:iCs/>
          <w:sz w:val="20"/>
          <w:szCs w:val="20"/>
          <w:lang w:eastAsia="it-IT"/>
        </w:rPr>
        <w:t>Audiovisivo e musica, dalla Comunicazione e dalle Performing arts e arti visive</w:t>
      </w:r>
      <w:r w:rsidRPr="00270BE3">
        <w:rPr>
          <w:rFonts w:eastAsia="Times New Roman" w:cstheme="minorHAnsi"/>
          <w:sz w:val="20"/>
          <w:szCs w:val="20"/>
          <w:lang w:eastAsia="it-IT"/>
        </w:rPr>
        <w:t>, tutti comparti con un peso superiore al 10% del valore aggiunto complessivo mentre il Patrimonio storico e artistico rappresenta il 5,8% della ricchezza generata dal settore.</w:t>
      </w:r>
    </w:p>
    <w:p w14:paraId="3F2FF20A" w14:textId="231930C4" w:rsidR="00EB55E8" w:rsidRPr="00270BE3" w:rsidRDefault="000224E2" w:rsidP="00EB55E8">
      <w:pPr>
        <w:spacing w:after="0"/>
        <w:jc w:val="both"/>
        <w:rPr>
          <w:rFonts w:eastAsia="Times New Roman" w:cstheme="minorHAnsi"/>
          <w:sz w:val="20"/>
          <w:szCs w:val="20"/>
          <w:lang w:eastAsia="it-IT"/>
        </w:rPr>
      </w:pPr>
      <w:r w:rsidRPr="00270BE3">
        <w:rPr>
          <w:rFonts w:eastAsia="Times New Roman" w:cstheme="minorHAnsi"/>
          <w:sz w:val="20"/>
          <w:szCs w:val="20"/>
          <w:lang w:eastAsia="it-IT"/>
        </w:rPr>
        <w:t>Nel complesso emerge una struttura produttiva articolata, nella quale convivono comparti tradizionali della filiera culturale e attività maggiormente legate alla trasformazione digitale, con queste ultime che assumono un peso crescente nella generazione di valore.</w:t>
      </w:r>
      <w:r w:rsidR="00EB55E8" w:rsidRPr="00270BE3">
        <w:rPr>
          <w:rFonts w:cstheme="minorHAnsi"/>
          <w:sz w:val="20"/>
          <w:szCs w:val="20"/>
        </w:rPr>
        <w:t xml:space="preserve"> </w:t>
      </w:r>
      <w:r w:rsidR="00EB55E8" w:rsidRPr="00270BE3">
        <w:rPr>
          <w:rFonts w:eastAsia="Times New Roman" w:cstheme="minorHAnsi"/>
          <w:sz w:val="20"/>
          <w:szCs w:val="20"/>
          <w:lang w:eastAsia="it-IT"/>
        </w:rPr>
        <w:t>Le dinamiche osservate nel 2025 confermano e rafforzano questa tendenza. Le performance migliori nell'ultimo anno si registrano infatti nell'</w:t>
      </w:r>
      <w:r w:rsidR="00EB55E8" w:rsidRPr="00270BE3">
        <w:rPr>
          <w:rFonts w:eastAsia="Times New Roman" w:cstheme="minorHAnsi"/>
          <w:i/>
          <w:iCs/>
          <w:sz w:val="20"/>
          <w:szCs w:val="20"/>
          <w:lang w:eastAsia="it-IT"/>
        </w:rPr>
        <w:t xml:space="preserve">Architettura e design </w:t>
      </w:r>
      <w:r w:rsidR="00EB55E8" w:rsidRPr="00270BE3">
        <w:rPr>
          <w:rFonts w:eastAsia="Times New Roman" w:cstheme="minorHAnsi"/>
          <w:sz w:val="20"/>
          <w:szCs w:val="20"/>
          <w:lang w:eastAsia="it-IT"/>
        </w:rPr>
        <w:t xml:space="preserve">(+5,9%) e nei </w:t>
      </w:r>
      <w:r w:rsidR="00EB55E8" w:rsidRPr="00270BE3">
        <w:rPr>
          <w:rFonts w:eastAsia="Times New Roman" w:cstheme="minorHAnsi"/>
          <w:i/>
          <w:iCs/>
          <w:sz w:val="20"/>
          <w:szCs w:val="20"/>
          <w:lang w:eastAsia="it-IT"/>
        </w:rPr>
        <w:t>Software e videogiochi</w:t>
      </w:r>
      <w:r w:rsidR="00EB55E8" w:rsidRPr="00270BE3">
        <w:rPr>
          <w:rFonts w:eastAsia="Times New Roman" w:cstheme="minorHAnsi"/>
          <w:sz w:val="20"/>
          <w:szCs w:val="20"/>
          <w:lang w:eastAsia="it-IT"/>
        </w:rPr>
        <w:t xml:space="preserve"> (+5,8%), comparti che beneficiano maggiormente dei processi di innovazione tecnologica, digitalizzazione e crescente domanda di servizi ad elevato contenuto creativo. Positivi risultano anche gli andamenti delle </w:t>
      </w:r>
      <w:r w:rsidR="00EB55E8" w:rsidRPr="00270BE3">
        <w:rPr>
          <w:rFonts w:eastAsia="Times New Roman" w:cstheme="minorHAnsi"/>
          <w:i/>
          <w:iCs/>
          <w:sz w:val="20"/>
          <w:szCs w:val="20"/>
          <w:lang w:eastAsia="it-IT"/>
        </w:rPr>
        <w:t>Performing arts</w:t>
      </w:r>
      <w:r w:rsidR="00EB55E8" w:rsidRPr="00270BE3">
        <w:rPr>
          <w:rFonts w:eastAsia="Times New Roman" w:cstheme="minorHAnsi"/>
          <w:sz w:val="20"/>
          <w:szCs w:val="20"/>
          <w:lang w:eastAsia="it-IT"/>
        </w:rPr>
        <w:t xml:space="preserve"> e arti </w:t>
      </w:r>
      <w:r w:rsidR="00EB55E8" w:rsidRPr="00270BE3">
        <w:rPr>
          <w:rFonts w:eastAsia="Times New Roman" w:cstheme="minorHAnsi"/>
          <w:sz w:val="20"/>
          <w:szCs w:val="20"/>
          <w:lang w:eastAsia="it-IT"/>
        </w:rPr>
        <w:lastRenderedPageBreak/>
        <w:t>visive (+3,8%) e dell'</w:t>
      </w:r>
      <w:r w:rsidR="00EB55E8" w:rsidRPr="00270BE3">
        <w:rPr>
          <w:rFonts w:eastAsia="Times New Roman" w:cstheme="minorHAnsi"/>
          <w:i/>
          <w:iCs/>
          <w:sz w:val="20"/>
          <w:szCs w:val="20"/>
          <w:lang w:eastAsia="it-IT"/>
        </w:rPr>
        <w:t xml:space="preserve">Editoria e stampa </w:t>
      </w:r>
      <w:r w:rsidR="00EB55E8" w:rsidRPr="00270BE3">
        <w:rPr>
          <w:rFonts w:eastAsia="Times New Roman" w:cstheme="minorHAnsi"/>
          <w:sz w:val="20"/>
          <w:szCs w:val="20"/>
          <w:lang w:eastAsia="it-IT"/>
        </w:rPr>
        <w:t>(+2,0%) e dell’</w:t>
      </w:r>
      <w:r w:rsidR="00EB55E8" w:rsidRPr="00270BE3">
        <w:rPr>
          <w:rFonts w:eastAsia="Times New Roman" w:cstheme="minorHAnsi"/>
          <w:i/>
          <w:iCs/>
          <w:sz w:val="20"/>
          <w:szCs w:val="20"/>
          <w:lang w:eastAsia="it-IT"/>
        </w:rPr>
        <w:t xml:space="preserve">Audiovisivo e musica </w:t>
      </w:r>
      <w:r w:rsidR="00EB55E8" w:rsidRPr="00270BE3">
        <w:rPr>
          <w:rFonts w:eastAsia="Times New Roman" w:cstheme="minorHAnsi"/>
          <w:sz w:val="20"/>
          <w:szCs w:val="20"/>
          <w:lang w:eastAsia="it-IT"/>
        </w:rPr>
        <w:t xml:space="preserve">(+0,9%) mentre la </w:t>
      </w:r>
      <w:r w:rsidR="00EB55E8" w:rsidRPr="00270BE3">
        <w:rPr>
          <w:rFonts w:eastAsia="Times New Roman" w:cstheme="minorHAnsi"/>
          <w:i/>
          <w:iCs/>
          <w:sz w:val="20"/>
          <w:szCs w:val="20"/>
          <w:lang w:eastAsia="it-IT"/>
        </w:rPr>
        <w:t>Comunicazione</w:t>
      </w:r>
      <w:r w:rsidR="00EB55E8" w:rsidRPr="00270BE3">
        <w:rPr>
          <w:rFonts w:eastAsia="Times New Roman" w:cstheme="minorHAnsi"/>
          <w:sz w:val="20"/>
          <w:szCs w:val="20"/>
          <w:lang w:eastAsia="it-IT"/>
        </w:rPr>
        <w:t xml:space="preserve"> (+0,2%) mostra una sostanziale stabilità. L'unico comparto in contrazione è quello del Patrimonio storico e artistico (-2,4%).</w:t>
      </w:r>
    </w:p>
    <w:p w14:paraId="173900CC" w14:textId="7587C7DF" w:rsidR="00C241E4" w:rsidRPr="00270BE3" w:rsidRDefault="00B272E1" w:rsidP="00C241E4">
      <w:pPr>
        <w:spacing w:after="0"/>
        <w:jc w:val="both"/>
        <w:rPr>
          <w:rFonts w:eastAsia="Times New Roman" w:cstheme="minorHAnsi"/>
          <w:sz w:val="20"/>
          <w:szCs w:val="20"/>
          <w:lang w:eastAsia="it-IT"/>
        </w:rPr>
      </w:pPr>
      <w:r w:rsidRPr="00270BE3">
        <w:rPr>
          <w:rFonts w:eastAsia="Times New Roman" w:cstheme="minorHAnsi"/>
          <w:sz w:val="20"/>
          <w:szCs w:val="20"/>
          <w:lang w:eastAsia="it-IT"/>
        </w:rPr>
        <w:t>Sul</w:t>
      </w:r>
      <w:r w:rsidR="00C241E4" w:rsidRPr="00270BE3">
        <w:rPr>
          <w:rFonts w:eastAsia="Times New Roman" w:cstheme="minorHAnsi"/>
          <w:sz w:val="20"/>
          <w:szCs w:val="20"/>
          <w:lang w:eastAsia="it-IT"/>
        </w:rPr>
        <w:t xml:space="preserve"> fronte occupazionale, il comparto dei </w:t>
      </w:r>
      <w:r w:rsidR="00C241E4" w:rsidRPr="00270BE3">
        <w:rPr>
          <w:rFonts w:eastAsia="Times New Roman" w:cstheme="minorHAnsi"/>
          <w:i/>
          <w:iCs/>
          <w:sz w:val="20"/>
          <w:szCs w:val="20"/>
          <w:lang w:eastAsia="it-IT"/>
        </w:rPr>
        <w:t>Software e videogiochi</w:t>
      </w:r>
      <w:r w:rsidR="00C241E4" w:rsidRPr="00270BE3">
        <w:rPr>
          <w:rFonts w:eastAsia="Times New Roman" w:cstheme="minorHAnsi"/>
          <w:sz w:val="20"/>
          <w:szCs w:val="20"/>
          <w:lang w:eastAsia="it-IT"/>
        </w:rPr>
        <w:t xml:space="preserve"> si conferma il principale datore di lavoro del Core Cultura, con oltre 206 mila occupati e una quota pari al 22,6% del totale. Seguono </w:t>
      </w:r>
      <w:r w:rsidR="00C241E4" w:rsidRPr="00270BE3">
        <w:rPr>
          <w:rFonts w:eastAsia="Times New Roman" w:cstheme="minorHAnsi"/>
          <w:i/>
          <w:iCs/>
          <w:sz w:val="20"/>
          <w:szCs w:val="20"/>
          <w:lang w:eastAsia="it-IT"/>
        </w:rPr>
        <w:t>l'Editoria e stampa</w:t>
      </w:r>
      <w:r w:rsidR="00C241E4" w:rsidRPr="00270BE3">
        <w:rPr>
          <w:rFonts w:eastAsia="Times New Roman" w:cstheme="minorHAnsi"/>
          <w:sz w:val="20"/>
          <w:szCs w:val="20"/>
          <w:lang w:eastAsia="it-IT"/>
        </w:rPr>
        <w:t xml:space="preserve">, che impiega quasi 192 mila addetti (21,0%), e </w:t>
      </w:r>
      <w:r w:rsidR="00C241E4" w:rsidRPr="00270BE3">
        <w:rPr>
          <w:rFonts w:eastAsia="Times New Roman" w:cstheme="minorHAnsi"/>
          <w:i/>
          <w:iCs/>
          <w:sz w:val="20"/>
          <w:szCs w:val="20"/>
          <w:lang w:eastAsia="it-IT"/>
        </w:rPr>
        <w:t>l'Architettura e design</w:t>
      </w:r>
      <w:r w:rsidR="00C241E4" w:rsidRPr="00270BE3">
        <w:rPr>
          <w:rFonts w:eastAsia="Times New Roman" w:cstheme="minorHAnsi"/>
          <w:sz w:val="20"/>
          <w:szCs w:val="20"/>
          <w:lang w:eastAsia="it-IT"/>
        </w:rPr>
        <w:t>, con circa 149 mila occupati (16,3%).</w:t>
      </w:r>
    </w:p>
    <w:p w14:paraId="00E05819" w14:textId="77777777" w:rsidR="00C241E4" w:rsidRPr="00270BE3" w:rsidRDefault="00C241E4" w:rsidP="00C241E4">
      <w:pPr>
        <w:spacing w:after="0"/>
        <w:jc w:val="both"/>
        <w:rPr>
          <w:rFonts w:eastAsia="Times New Roman" w:cstheme="minorHAnsi"/>
          <w:sz w:val="20"/>
          <w:szCs w:val="20"/>
          <w:lang w:eastAsia="it-IT"/>
        </w:rPr>
      </w:pPr>
      <w:r w:rsidRPr="00270BE3">
        <w:rPr>
          <w:rFonts w:eastAsia="Times New Roman" w:cstheme="minorHAnsi"/>
          <w:sz w:val="20"/>
          <w:szCs w:val="20"/>
          <w:lang w:eastAsia="it-IT"/>
        </w:rPr>
        <w:t xml:space="preserve">Un contributo rilevante proviene anche dalla </w:t>
      </w:r>
      <w:r w:rsidRPr="00270BE3">
        <w:rPr>
          <w:rFonts w:eastAsia="Times New Roman" w:cstheme="minorHAnsi"/>
          <w:i/>
          <w:iCs/>
          <w:sz w:val="20"/>
          <w:szCs w:val="20"/>
          <w:lang w:eastAsia="it-IT"/>
        </w:rPr>
        <w:t>Comunicazione</w:t>
      </w:r>
      <w:r w:rsidRPr="00270BE3">
        <w:rPr>
          <w:rFonts w:eastAsia="Times New Roman" w:cstheme="minorHAnsi"/>
          <w:sz w:val="20"/>
          <w:szCs w:val="20"/>
          <w:lang w:eastAsia="it-IT"/>
        </w:rPr>
        <w:t xml:space="preserve">, che concentra il 14,3% dell'occupazione complessiva del settore, e dalle </w:t>
      </w:r>
      <w:r w:rsidRPr="00270BE3">
        <w:rPr>
          <w:rFonts w:eastAsia="Times New Roman" w:cstheme="minorHAnsi"/>
          <w:i/>
          <w:iCs/>
          <w:sz w:val="20"/>
          <w:szCs w:val="20"/>
          <w:lang w:eastAsia="it-IT"/>
        </w:rPr>
        <w:t>Performing arts e arti visive</w:t>
      </w:r>
      <w:r w:rsidRPr="00270BE3">
        <w:rPr>
          <w:rFonts w:eastAsia="Times New Roman" w:cstheme="minorHAnsi"/>
          <w:sz w:val="20"/>
          <w:szCs w:val="20"/>
          <w:lang w:eastAsia="it-IT"/>
        </w:rPr>
        <w:t xml:space="preserve">, che assorbono il 12,1% degli addetti. Più contenuto, ma comunque significativo, il peso del </w:t>
      </w:r>
      <w:r w:rsidRPr="00270BE3">
        <w:rPr>
          <w:rFonts w:eastAsia="Times New Roman" w:cstheme="minorHAnsi"/>
          <w:i/>
          <w:iCs/>
          <w:sz w:val="20"/>
          <w:szCs w:val="20"/>
          <w:lang w:eastAsia="it-IT"/>
        </w:rPr>
        <w:t>Patrimonio storico e artistico e dell'Audiovisivo e musica</w:t>
      </w:r>
      <w:r w:rsidRPr="00270BE3">
        <w:rPr>
          <w:rFonts w:eastAsia="Times New Roman" w:cstheme="minorHAnsi"/>
          <w:sz w:val="20"/>
          <w:szCs w:val="20"/>
          <w:lang w:eastAsia="it-IT"/>
        </w:rPr>
        <w:t>, che rappresentano rispettivamente il 7,0% e il 6,8% dell'occupazione del Core Cultura.</w:t>
      </w:r>
    </w:p>
    <w:p w14:paraId="4BCC9470" w14:textId="2FEC12B9" w:rsidR="000555E0" w:rsidRPr="00270BE3" w:rsidRDefault="0080438C" w:rsidP="0075267F">
      <w:pPr>
        <w:spacing w:after="0"/>
        <w:jc w:val="both"/>
        <w:rPr>
          <w:rFonts w:cstheme="minorHAnsi"/>
          <w:sz w:val="20"/>
          <w:szCs w:val="20"/>
        </w:rPr>
      </w:pPr>
      <w:r w:rsidRPr="00270BE3">
        <w:rPr>
          <w:rFonts w:eastAsia="Times New Roman" w:cstheme="minorHAnsi"/>
          <w:sz w:val="20"/>
          <w:szCs w:val="20"/>
          <w:lang w:eastAsia="it-IT"/>
        </w:rPr>
        <w:t>C’è poi</w:t>
      </w:r>
      <w:r w:rsidR="009D16D4" w:rsidRPr="00270BE3">
        <w:rPr>
          <w:rFonts w:eastAsia="Times New Roman" w:cstheme="minorHAnsi"/>
          <w:sz w:val="20"/>
          <w:szCs w:val="20"/>
          <w:lang w:eastAsia="it-IT"/>
        </w:rPr>
        <w:t xml:space="preserve"> </w:t>
      </w:r>
      <w:r w:rsidRPr="00270BE3">
        <w:rPr>
          <w:rFonts w:eastAsia="Times New Roman" w:cstheme="minorHAnsi"/>
          <w:sz w:val="20"/>
          <w:szCs w:val="20"/>
          <w:lang w:eastAsia="it-IT"/>
        </w:rPr>
        <w:t xml:space="preserve">la componente </w:t>
      </w:r>
      <w:r w:rsidRPr="00270BE3">
        <w:rPr>
          <w:rFonts w:eastAsia="Times New Roman" w:cstheme="minorHAnsi"/>
          <w:i/>
          <w:iCs/>
          <w:sz w:val="20"/>
          <w:szCs w:val="20"/>
          <w:lang w:eastAsia="it-IT"/>
        </w:rPr>
        <w:t>Embedded Creatives</w:t>
      </w:r>
      <w:r w:rsidRPr="00270BE3">
        <w:rPr>
          <w:rFonts w:eastAsia="Times New Roman" w:cstheme="minorHAnsi"/>
          <w:sz w:val="20"/>
          <w:szCs w:val="20"/>
          <w:lang w:eastAsia="it-IT"/>
        </w:rPr>
        <w:t>,</w:t>
      </w:r>
      <w:r w:rsidRPr="00270BE3">
        <w:rPr>
          <w:rFonts w:eastAsia="Times New Roman" w:cstheme="minorHAnsi"/>
          <w:b/>
          <w:bCs/>
          <w:sz w:val="20"/>
          <w:szCs w:val="20"/>
          <w:lang w:eastAsia="it-IT"/>
        </w:rPr>
        <w:t xml:space="preserve"> </w:t>
      </w:r>
      <w:r w:rsidRPr="00270BE3">
        <w:rPr>
          <w:rFonts w:eastAsia="Times New Roman" w:cstheme="minorHAnsi"/>
          <w:sz w:val="20"/>
          <w:szCs w:val="20"/>
          <w:lang w:eastAsia="it-IT"/>
        </w:rPr>
        <w:t>composta da tutti i</w:t>
      </w:r>
      <w:r w:rsidRPr="00270BE3">
        <w:rPr>
          <w:rFonts w:eastAsia="Times New Roman" w:cstheme="minorHAnsi"/>
          <w:b/>
          <w:bCs/>
          <w:i/>
          <w:iCs/>
          <w:sz w:val="20"/>
          <w:szCs w:val="20"/>
          <w:lang w:eastAsia="it-IT"/>
        </w:rPr>
        <w:t xml:space="preserve"> </w:t>
      </w:r>
      <w:r w:rsidRPr="00270BE3">
        <w:rPr>
          <w:rStyle w:val="cf01"/>
          <w:rFonts w:asciiTheme="minorHAnsi" w:hAnsiTheme="minorHAnsi" w:cstheme="minorHAnsi"/>
          <w:sz w:val="20"/>
          <w:szCs w:val="20"/>
        </w:rPr>
        <w:t xml:space="preserve">professionisti culturali e creativi che operano al di fuori dei settori che costituiscono il </w:t>
      </w:r>
      <w:r w:rsidRPr="007C7252">
        <w:rPr>
          <w:rStyle w:val="cf11"/>
          <w:rFonts w:asciiTheme="minorHAnsi" w:hAnsiTheme="minorHAnsi" w:cstheme="minorHAnsi"/>
          <w:i w:val="0"/>
          <w:iCs w:val="0"/>
          <w:sz w:val="20"/>
          <w:szCs w:val="20"/>
        </w:rPr>
        <w:t>Core</w:t>
      </w:r>
      <w:r w:rsidRPr="007C7252">
        <w:rPr>
          <w:rStyle w:val="cf01"/>
          <w:rFonts w:asciiTheme="minorHAnsi" w:hAnsiTheme="minorHAnsi" w:cstheme="minorHAnsi"/>
          <w:i/>
          <w:iCs/>
          <w:sz w:val="20"/>
          <w:szCs w:val="20"/>
        </w:rPr>
        <w:t xml:space="preserve"> </w:t>
      </w:r>
      <w:r w:rsidR="007C7252" w:rsidRPr="007C7252">
        <w:rPr>
          <w:rStyle w:val="cf01"/>
          <w:rFonts w:asciiTheme="minorHAnsi" w:hAnsiTheme="minorHAnsi" w:cstheme="minorHAnsi"/>
          <w:sz w:val="20"/>
          <w:szCs w:val="20"/>
        </w:rPr>
        <w:t>C</w:t>
      </w:r>
      <w:r w:rsidRPr="007C7252">
        <w:rPr>
          <w:rStyle w:val="cf01"/>
          <w:rFonts w:asciiTheme="minorHAnsi" w:hAnsiTheme="minorHAnsi" w:cstheme="minorHAnsi"/>
          <w:sz w:val="20"/>
          <w:szCs w:val="20"/>
        </w:rPr>
        <w:t>ultura</w:t>
      </w:r>
      <w:r w:rsidRPr="00270BE3">
        <w:rPr>
          <w:rStyle w:val="cf01"/>
          <w:rFonts w:asciiTheme="minorHAnsi" w:hAnsiTheme="minorHAnsi" w:cstheme="minorHAnsi"/>
          <w:sz w:val="20"/>
          <w:szCs w:val="20"/>
        </w:rPr>
        <w:t xml:space="preserve"> </w:t>
      </w:r>
      <w:r w:rsidRPr="00270BE3">
        <w:rPr>
          <w:rFonts w:eastAsia="Times New Roman" w:cstheme="minorHAnsi"/>
          <w:sz w:val="20"/>
          <w:szCs w:val="20"/>
          <w:lang w:eastAsia="it-IT"/>
        </w:rPr>
        <w:t xml:space="preserve">- designer, esperti di comunicazione, storyteller, curatori, art director, artisti, architetti </w:t>
      </w:r>
      <w:r w:rsidR="003B11EB" w:rsidRPr="00270BE3">
        <w:rPr>
          <w:rFonts w:eastAsia="Times New Roman" w:cstheme="minorHAnsi"/>
          <w:sz w:val="20"/>
          <w:szCs w:val="20"/>
          <w:lang w:eastAsia="it-IT"/>
        </w:rPr>
        <w:t xml:space="preserve">che è strettamente connessa ai processi di culturalizzazione che hanno progressivamente interessato un numero crescente di settori economici: inizialmente quelli del manifatturiero avanzato e, più recentemente, in misura sempre maggiore, quelli dei servizi. </w:t>
      </w:r>
      <w:r w:rsidR="005653BB" w:rsidRPr="00270BE3">
        <w:rPr>
          <w:rFonts w:eastAsia="Times New Roman" w:cstheme="minorHAnsi"/>
          <w:sz w:val="20"/>
          <w:szCs w:val="20"/>
          <w:lang w:eastAsia="it-IT"/>
        </w:rPr>
        <w:t xml:space="preserve">Nel 2025, il 22,3% del valore aggiunto generato da questa componente si concentra negli Altri servizi alle imprese e il 17,2% nelle Altre attività industriali, evidenziando il ruolo centrale delle competenze creative nei processi di innovazione, progettazione e sviluppo delle imprese. Un contributo rilevante proviene inoltre dagli Altri servizi alla persona (16,1%), dalle Attività professionali (9,9%), dal Commercio (7,3%) e dalle Costruzioni e immobiliare (6,9%). Più contenuto risulta invece il peso delle filiere manifatturiere tradizionali e del Turismo, che rappresentano quote relativamente limitate del valore aggiunto complessivo generato dagli </w:t>
      </w:r>
      <w:r w:rsidR="005653BB" w:rsidRPr="00270BE3">
        <w:rPr>
          <w:rFonts w:eastAsia="Times New Roman" w:cstheme="minorHAnsi"/>
          <w:i/>
          <w:iCs/>
          <w:sz w:val="20"/>
          <w:szCs w:val="20"/>
          <w:lang w:eastAsia="it-IT"/>
        </w:rPr>
        <w:t>Embedded Creatives</w:t>
      </w:r>
      <w:r w:rsidR="005653BB" w:rsidRPr="00270BE3">
        <w:rPr>
          <w:rFonts w:eastAsia="Times New Roman" w:cstheme="minorHAnsi"/>
          <w:sz w:val="20"/>
          <w:szCs w:val="20"/>
          <w:lang w:eastAsia="it-IT"/>
        </w:rPr>
        <w:t xml:space="preserve"> nonostante l’elevata incidenza di professionisti al loro interno.</w:t>
      </w:r>
      <w:r w:rsidR="00F34CA1" w:rsidRPr="00270BE3">
        <w:rPr>
          <w:rFonts w:eastAsia="Times New Roman" w:cstheme="minorHAnsi"/>
          <w:sz w:val="20"/>
          <w:szCs w:val="20"/>
          <w:lang w:eastAsia="it-IT"/>
        </w:rPr>
        <w:t xml:space="preserve"> </w:t>
      </w:r>
    </w:p>
    <w:p w14:paraId="308552D4" w14:textId="5DF9456D" w:rsidR="009F19F4" w:rsidRPr="00270BE3" w:rsidRDefault="000555E0" w:rsidP="0070619E">
      <w:pPr>
        <w:spacing w:after="0"/>
        <w:jc w:val="both"/>
        <w:rPr>
          <w:rFonts w:eastAsia="Times New Roman" w:cstheme="minorHAnsi"/>
          <w:sz w:val="20"/>
          <w:szCs w:val="20"/>
          <w:lang w:eastAsia="it-IT"/>
        </w:rPr>
      </w:pPr>
      <w:r w:rsidRPr="00270BE3">
        <w:rPr>
          <w:rFonts w:eastAsia="Times New Roman" w:cstheme="minorHAnsi"/>
          <w:bCs/>
          <w:sz w:val="20"/>
          <w:szCs w:val="20"/>
          <w:lang w:eastAsia="it-IT"/>
        </w:rPr>
        <w:t xml:space="preserve">A fronte di questa crescita, permangono tuttavia criticità strutturali </w:t>
      </w:r>
      <w:r w:rsidR="00C87869" w:rsidRPr="00270BE3">
        <w:rPr>
          <w:rFonts w:eastAsia="Times New Roman" w:cstheme="minorHAnsi"/>
          <w:bCs/>
          <w:sz w:val="20"/>
          <w:szCs w:val="20"/>
          <w:lang w:eastAsia="it-IT"/>
        </w:rPr>
        <w:t>e ce lo</w:t>
      </w:r>
      <w:r w:rsidRPr="00270BE3">
        <w:rPr>
          <w:rFonts w:eastAsia="Times New Roman" w:cstheme="minorHAnsi"/>
          <w:bCs/>
          <w:sz w:val="20"/>
          <w:szCs w:val="20"/>
          <w:lang w:eastAsia="it-IT"/>
        </w:rPr>
        <w:t xml:space="preserve"> ha ricordato anche lo sciopero nazionale del settore della cultura del 12 giugno 2026, quando lavoratori di musei, archivi, biblioteche e teatri hanno protestato contro precarietà e bassi salari, chiedendo maggiori investimenti e percorsi di stabilizzazione dell'occupazione. I dati del report confermano queste criticità. Il lavoro </w:t>
      </w:r>
      <w:r w:rsidR="00EE022D" w:rsidRPr="00270BE3">
        <w:rPr>
          <w:rFonts w:eastAsia="Times New Roman" w:cstheme="minorHAnsi"/>
          <w:bCs/>
          <w:sz w:val="20"/>
          <w:szCs w:val="20"/>
          <w:lang w:eastAsia="it-IT"/>
        </w:rPr>
        <w:t>autonomo</w:t>
      </w:r>
      <w:r w:rsidRPr="00270BE3">
        <w:rPr>
          <w:rFonts w:eastAsia="Times New Roman" w:cstheme="minorHAnsi"/>
          <w:bCs/>
          <w:sz w:val="20"/>
          <w:szCs w:val="20"/>
          <w:lang w:eastAsia="it-IT"/>
        </w:rPr>
        <w:t xml:space="preserve"> rappresenta infatti ancora il 35,4% degli occupati del settore e raggiunge il 48,2% nel Core Cultura, una quota più che doppia rispetto alla media dell'economia italiana (21,5%). È una quota che riflette la natura progettuale di molte attività creative, ma anche la difficoltà di garantire continuità occupazionale e adeguata remunerazione. Il 7,4% degli occupati del settore esprime un giudizio negativo sulla propria stabilità lavorativa, con picchi nelle </w:t>
      </w:r>
      <w:r w:rsidRPr="00270BE3">
        <w:rPr>
          <w:rFonts w:eastAsia="Times New Roman" w:cstheme="minorHAnsi"/>
          <w:bCs/>
          <w:i/>
          <w:iCs/>
          <w:sz w:val="20"/>
          <w:szCs w:val="20"/>
          <w:lang w:eastAsia="it-IT"/>
        </w:rPr>
        <w:t>Performing arts</w:t>
      </w:r>
      <w:r w:rsidRPr="00270BE3">
        <w:rPr>
          <w:rFonts w:eastAsia="Times New Roman" w:cstheme="minorHAnsi"/>
          <w:bCs/>
          <w:sz w:val="20"/>
          <w:szCs w:val="20"/>
          <w:lang w:eastAsia="it-IT"/>
        </w:rPr>
        <w:t xml:space="preserve"> (10,3%) e nel Patrimonio storico e artistico (8,4%). Nel 2025, inoltre, il 4,7% di chi lavorava nelle attività creative e di intrattenimento risultava non più occupato rispetto all'anno precedente. Sono numeri che confermano come il pieno riconoscimento del lavoro creativo, nella sua discontinuità, nella sua specificità e nel suo valore, resti una questione aperta.</w:t>
      </w:r>
    </w:p>
    <w:p w14:paraId="5697811E" w14:textId="1E41C4F8" w:rsidR="00A70DEC" w:rsidRPr="00270BE3" w:rsidRDefault="00BE394A" w:rsidP="00A70DEC">
      <w:pPr>
        <w:spacing w:after="0"/>
        <w:jc w:val="both"/>
        <w:rPr>
          <w:rFonts w:eastAsia="Times New Roman" w:cstheme="minorHAnsi"/>
          <w:sz w:val="20"/>
          <w:szCs w:val="20"/>
          <w:lang w:eastAsia="it-IT"/>
        </w:rPr>
      </w:pPr>
      <w:r w:rsidRPr="00270BE3">
        <w:rPr>
          <w:rFonts w:eastAsia="Times New Roman" w:cstheme="minorHAnsi"/>
          <w:sz w:val="20"/>
          <w:szCs w:val="20"/>
          <w:lang w:eastAsia="it-IT"/>
        </w:rPr>
        <w:t>È importante</w:t>
      </w:r>
      <w:r w:rsidR="00A70DEC" w:rsidRPr="00270BE3">
        <w:rPr>
          <w:rFonts w:eastAsia="Times New Roman" w:cstheme="minorHAnsi"/>
          <w:sz w:val="20"/>
          <w:szCs w:val="20"/>
          <w:lang w:eastAsia="it-IT"/>
        </w:rPr>
        <w:t xml:space="preserve"> la parte che riguarda </w:t>
      </w:r>
      <w:r w:rsidR="00A70DEC" w:rsidRPr="00270BE3">
        <w:rPr>
          <w:rFonts w:eastAsia="Times New Roman" w:cstheme="minorHAnsi"/>
          <w:b/>
          <w:bCs/>
          <w:sz w:val="20"/>
          <w:szCs w:val="20"/>
          <w:lang w:eastAsia="it-IT"/>
        </w:rPr>
        <w:t>l’uso dell'AI nella filiera culturale e creativa italiana</w:t>
      </w:r>
      <w:r w:rsidR="00A70DEC" w:rsidRPr="00270BE3">
        <w:rPr>
          <w:rFonts w:eastAsia="Times New Roman" w:cstheme="minorHAnsi"/>
          <w:sz w:val="20"/>
          <w:szCs w:val="20"/>
          <w:lang w:eastAsia="it-IT"/>
        </w:rPr>
        <w:t xml:space="preserve"> che si sta consolidando in modo pervasivo, passando da una fase sperimentale a una vera e propria infrastruttura integrata nei processi produttivi e distributivi. Questo consolidamento è testimoniato non solo dalla diffusione del suo utilizzo quotidiano in quasi tutti i settori creativi ma anche dall'adeguamento del quadro normativo, con l'approvazione nel settembre 2025 della prima legge nazionale dedicata all'AI, che si inserisce nel più ampio percorso avviato dall’Unione Europea con l’AI Act, il regolamento comunitario approvato nel 2024 che sta entrando in vigore a step progressivi. </w:t>
      </w:r>
    </w:p>
    <w:p w14:paraId="7F4402E7" w14:textId="10E030A1" w:rsidR="00C62F4E" w:rsidRPr="00270BE3" w:rsidRDefault="00A70DEC" w:rsidP="000555E0">
      <w:pPr>
        <w:spacing w:after="0"/>
        <w:jc w:val="both"/>
        <w:rPr>
          <w:rFonts w:cstheme="minorHAnsi"/>
          <w:sz w:val="20"/>
          <w:szCs w:val="20"/>
        </w:rPr>
      </w:pPr>
      <w:r w:rsidRPr="00270BE3">
        <w:rPr>
          <w:rFonts w:eastAsia="Times New Roman" w:cstheme="minorHAnsi"/>
          <w:sz w:val="20"/>
          <w:szCs w:val="20"/>
          <w:lang w:eastAsia="it-IT"/>
        </w:rPr>
        <w:t xml:space="preserve">Nel settore della comunicazione e della pubblicità, ambito dove l'integrazione ha raggiunto un maggior grado di avanzamento, l'AI è diventata un partner creativo fondamentale per la costruzione di immagini, storytelling e campagne audiovisive, utilizzata per ridurre tempi e costi. Al punto che anche in Italia oggi si parla di </w:t>
      </w:r>
      <w:r w:rsidRPr="00270BE3">
        <w:rPr>
          <w:rFonts w:eastAsia="Times New Roman" w:cstheme="minorHAnsi"/>
          <w:i/>
          <w:iCs/>
          <w:sz w:val="20"/>
          <w:szCs w:val="20"/>
          <w:lang w:eastAsia="it-IT"/>
        </w:rPr>
        <w:t>smart production</w:t>
      </w:r>
      <w:r w:rsidRPr="00270BE3">
        <w:rPr>
          <w:rFonts w:eastAsia="Times New Roman" w:cstheme="minorHAnsi"/>
          <w:sz w:val="20"/>
          <w:szCs w:val="20"/>
          <w:lang w:eastAsia="it-IT"/>
        </w:rPr>
        <w:t xml:space="preserve"> per indicare la capacità di generare spot pubblicitari in tempi ridottissimi (meno di 30 giorni) con spot generati interamente tramite AI ma governati da una regia umana esperta a garanzia di realismo, coerenza narrativa e standard qualitativi adeguati ai vari format. </w:t>
      </w:r>
    </w:p>
    <w:p w14:paraId="0D414A1F" w14:textId="553D1CD3" w:rsidR="00A70DEC" w:rsidRPr="00270BE3" w:rsidRDefault="00C62F4E" w:rsidP="000555E0">
      <w:pPr>
        <w:spacing w:after="0"/>
        <w:jc w:val="both"/>
        <w:rPr>
          <w:rFonts w:cstheme="minorHAnsi"/>
          <w:sz w:val="20"/>
          <w:szCs w:val="20"/>
        </w:rPr>
      </w:pPr>
      <w:r w:rsidRPr="00270BE3">
        <w:rPr>
          <w:rFonts w:eastAsia="Times New Roman" w:cstheme="minorHAnsi"/>
          <w:sz w:val="20"/>
          <w:szCs w:val="20"/>
          <w:lang w:eastAsia="it-IT"/>
        </w:rPr>
        <w:t xml:space="preserve">Al consolidarsi delle tecnologie digitali si affianca anche una sensibilità ambientale sempre più diffusa e condivisa, trasversale a quasi tutti i settori culturali e creativi italiani. Una leva strategica che procede in un momento in cui la crisi climatica chiede risposte concrete a tutta la società. Tra i settori più attivi, il design racconta forse la trasformazione più radicale. Ripensa gli oggetti per ridurne l'impatto lungo l'intero ciclo di vita, recupera scarti industriali e tessili dando loro nuova forma, e si spinge fino a sperimentare biomateriali </w:t>
      </w:r>
      <w:r w:rsidRPr="00270BE3">
        <w:rPr>
          <w:rFonts w:cstheme="minorHAnsi"/>
          <w:sz w:val="20"/>
          <w:szCs w:val="20"/>
        </w:rPr>
        <w:t xml:space="preserve">(funghi, residui agricoli, scarti organici), dove economia circolare e biotecnologie avanzate si incontrano e si fondono. Anche il patrimonio storico-artistico si interroga sulle </w:t>
      </w:r>
      <w:r w:rsidRPr="00270BE3">
        <w:rPr>
          <w:rFonts w:cstheme="minorHAnsi"/>
          <w:sz w:val="20"/>
          <w:szCs w:val="20"/>
        </w:rPr>
        <w:lastRenderedPageBreak/>
        <w:t>proprie pratiche: musei, siti archeologici e complessi monumentali intervengono per ridurre gli impatti ambientali attraverso interventi di efficientamento energetico, innovazione impiantistica e</w:t>
      </w:r>
      <w:r w:rsidR="00567FA2" w:rsidRPr="00270BE3">
        <w:rPr>
          <w:rFonts w:cstheme="minorHAnsi"/>
          <w:sz w:val="20"/>
          <w:szCs w:val="20"/>
        </w:rPr>
        <w:t>d</w:t>
      </w:r>
      <w:r w:rsidRPr="00270BE3">
        <w:rPr>
          <w:rFonts w:cstheme="minorHAnsi"/>
          <w:sz w:val="20"/>
          <w:szCs w:val="20"/>
        </w:rPr>
        <w:t xml:space="preserve"> economia circolare, ma anche per promuovere una mobilità più sostenibile e attività educative rivolte al proprio pubblico.</w:t>
      </w:r>
    </w:p>
    <w:p w14:paraId="61DDB4B3" w14:textId="77777777" w:rsidR="00C62F4E" w:rsidRPr="00270BE3" w:rsidRDefault="00C62F4E" w:rsidP="000555E0">
      <w:pPr>
        <w:spacing w:after="0"/>
        <w:jc w:val="both"/>
        <w:rPr>
          <w:rFonts w:cstheme="minorHAnsi"/>
          <w:sz w:val="20"/>
          <w:szCs w:val="20"/>
        </w:rPr>
      </w:pPr>
    </w:p>
    <w:p w14:paraId="558C1EE1" w14:textId="77777777" w:rsidR="0093694D" w:rsidRDefault="0093694D" w:rsidP="005624D6">
      <w:pPr>
        <w:spacing w:before="480" w:after="0"/>
        <w:rPr>
          <w:rFonts w:eastAsia="Times New Roman" w:cstheme="minorHAnsi"/>
          <w:b/>
          <w:sz w:val="24"/>
          <w:szCs w:val="24"/>
          <w:lang w:eastAsia="it-IT"/>
        </w:rPr>
      </w:pPr>
    </w:p>
    <w:p w14:paraId="4DED3F26" w14:textId="77777777" w:rsidR="007F1D90" w:rsidRPr="007C1145" w:rsidRDefault="007F1D90" w:rsidP="007F1D90">
      <w:pPr>
        <w:spacing w:before="480" w:after="0"/>
        <w:rPr>
          <w:rFonts w:eastAsia="Times New Roman" w:cstheme="minorHAnsi"/>
          <w:b/>
          <w:sz w:val="24"/>
          <w:szCs w:val="24"/>
          <w:lang w:eastAsia="it-IT"/>
        </w:rPr>
      </w:pPr>
      <w:r w:rsidRPr="007C1145">
        <w:rPr>
          <w:rFonts w:eastAsia="Times New Roman" w:cstheme="minorHAnsi"/>
          <w:b/>
          <w:sz w:val="24"/>
          <w:szCs w:val="24"/>
          <w:lang w:eastAsia="it-IT"/>
        </w:rPr>
        <w:t>Valore aggiunto del Sistema Produttivo Culturale</w:t>
      </w:r>
      <w:r w:rsidRPr="007C1145">
        <w:rPr>
          <w:rFonts w:eastAsia="Times New Roman" w:cstheme="minorHAnsi"/>
          <w:b/>
          <w:i/>
          <w:iCs/>
          <w:sz w:val="24"/>
          <w:szCs w:val="24"/>
          <w:lang w:eastAsia="it-IT"/>
        </w:rPr>
        <w:t xml:space="preserve"> </w:t>
      </w:r>
      <w:r w:rsidRPr="007C1145">
        <w:rPr>
          <w:rFonts w:eastAsia="Times New Roman" w:cstheme="minorHAnsi"/>
          <w:b/>
          <w:sz w:val="24"/>
          <w:szCs w:val="24"/>
          <w:lang w:eastAsia="it-IT"/>
        </w:rPr>
        <w:t>e Creativo per regioni</w:t>
      </w:r>
      <w:bookmarkStart w:id="0" w:name="_Hlk203730015"/>
      <w:r w:rsidRPr="007C1145">
        <w:rPr>
          <w:rFonts w:eastAsia="Times New Roman" w:cstheme="minorHAnsi"/>
          <w:b/>
          <w:sz w:val="24"/>
          <w:szCs w:val="24"/>
          <w:lang w:eastAsia="it-IT"/>
        </w:rPr>
        <w:t xml:space="preserve"> e macroaree</w:t>
      </w:r>
    </w:p>
    <w:bookmarkEnd w:id="0"/>
    <w:p w14:paraId="219C85B9" w14:textId="77777777" w:rsidR="007F1D90" w:rsidRPr="007C1145" w:rsidRDefault="007F1D90" w:rsidP="007F1D90">
      <w:pPr>
        <w:shd w:val="clear" w:color="auto" w:fill="FFFFFF" w:themeFill="background1"/>
        <w:spacing w:after="0"/>
        <w:jc w:val="both"/>
        <w:rPr>
          <w:rFonts w:eastAsia="Times New Roman" w:cstheme="minorHAnsi"/>
          <w:sz w:val="18"/>
          <w:lang w:eastAsia="it-IT"/>
        </w:rPr>
      </w:pPr>
      <w:r w:rsidRPr="007C1145">
        <w:rPr>
          <w:rFonts w:eastAsia="Times New Roman" w:cstheme="minorHAnsi"/>
          <w:lang w:eastAsia="it-IT"/>
        </w:rPr>
        <w:t>2025 (valori assoluti e incidenze sul totale economia regionale e di macroarea)</w:t>
      </w:r>
      <w:r w:rsidRPr="007C1145">
        <w:rPr>
          <w:rFonts w:eastAsia="Times New Roman" w:cstheme="minorHAnsi"/>
          <w:sz w:val="18"/>
          <w:lang w:eastAsia="it-IT"/>
        </w:rPr>
        <w:t xml:space="preserve"> </w:t>
      </w:r>
    </w:p>
    <w:tbl>
      <w:tblPr>
        <w:tblW w:w="5000" w:type="pct"/>
        <w:tblCellMar>
          <w:left w:w="70" w:type="dxa"/>
          <w:right w:w="70" w:type="dxa"/>
        </w:tblCellMar>
        <w:tblLook w:val="04A0" w:firstRow="1" w:lastRow="0" w:firstColumn="1" w:lastColumn="0" w:noHBand="0" w:noVBand="1"/>
      </w:tblPr>
      <w:tblGrid>
        <w:gridCol w:w="2032"/>
        <w:gridCol w:w="1167"/>
        <w:gridCol w:w="1315"/>
        <w:gridCol w:w="1315"/>
        <w:gridCol w:w="1169"/>
        <w:gridCol w:w="1315"/>
        <w:gridCol w:w="1315"/>
      </w:tblGrid>
      <w:tr w:rsidR="007F1D90" w:rsidRPr="007C1145" w14:paraId="1A32240F" w14:textId="77777777" w:rsidTr="00F446C3">
        <w:trPr>
          <w:trHeight w:hRule="exact" w:val="397"/>
        </w:trPr>
        <w:tc>
          <w:tcPr>
            <w:tcW w:w="105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CC2D9C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1972"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2A29A3C0"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i/>
                <w:iCs/>
                <w:sz w:val="18"/>
                <w:szCs w:val="18"/>
                <w:lang w:eastAsia="it-IT"/>
              </w:rPr>
              <w:t>Core</w:t>
            </w:r>
            <w:r w:rsidRPr="007C1145">
              <w:rPr>
                <w:rFonts w:ascii="Aptos" w:eastAsia="Times New Roman" w:hAnsi="Aptos" w:cs="Times New Roman"/>
                <w:b/>
                <w:bCs/>
                <w:sz w:val="18"/>
                <w:szCs w:val="18"/>
                <w:lang w:eastAsia="it-IT"/>
              </w:rPr>
              <w:t xml:space="preserve"> Cultura</w:t>
            </w:r>
          </w:p>
        </w:tc>
        <w:tc>
          <w:tcPr>
            <w:tcW w:w="1972"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1A7BCB47"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Sistema Produttivo Culturale e Creativo</w:t>
            </w:r>
          </w:p>
        </w:tc>
      </w:tr>
      <w:tr w:rsidR="007F1D90" w:rsidRPr="007C1145" w14:paraId="16965D10" w14:textId="77777777" w:rsidTr="00F446C3">
        <w:trPr>
          <w:trHeight w:hRule="exact" w:val="1838"/>
        </w:trPr>
        <w:tc>
          <w:tcPr>
            <w:tcW w:w="1056" w:type="pct"/>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109E0EF2" w14:textId="77777777" w:rsidR="007F1D90" w:rsidRPr="007C1145" w:rsidRDefault="007F1D90" w:rsidP="00F446C3">
            <w:pPr>
              <w:spacing w:after="0" w:line="240" w:lineRule="auto"/>
              <w:rPr>
                <w:rFonts w:ascii="Aptos" w:eastAsia="Times New Roman" w:hAnsi="Aptos" w:cs="Times New Roman"/>
                <w:b/>
                <w:bCs/>
                <w:sz w:val="18"/>
                <w:szCs w:val="18"/>
                <w:lang w:eastAsia="it-IT"/>
              </w:rPr>
            </w:pPr>
          </w:p>
        </w:tc>
        <w:tc>
          <w:tcPr>
            <w:tcW w:w="606" w:type="pct"/>
            <w:tcBorders>
              <w:top w:val="nil"/>
              <w:left w:val="nil"/>
              <w:bottom w:val="single" w:sz="4" w:space="0" w:color="auto"/>
              <w:right w:val="nil"/>
            </w:tcBorders>
            <w:shd w:val="clear" w:color="auto" w:fill="D9D9D9" w:themeFill="background1" w:themeFillShade="D9"/>
            <w:vAlign w:val="center"/>
            <w:hideMark/>
          </w:tcPr>
          <w:p w14:paraId="1AB015EF"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Valori assoluti (milioni di euro)</w:t>
            </w:r>
          </w:p>
        </w:tc>
        <w:tc>
          <w:tcPr>
            <w:tcW w:w="683" w:type="pct"/>
            <w:tcBorders>
              <w:top w:val="nil"/>
              <w:left w:val="nil"/>
              <w:bottom w:val="single" w:sz="4" w:space="0" w:color="auto"/>
              <w:right w:val="nil"/>
            </w:tcBorders>
            <w:shd w:val="clear" w:color="auto" w:fill="D9D9D9" w:themeFill="background1" w:themeFillShade="D9"/>
            <w:vAlign w:val="center"/>
            <w:hideMark/>
          </w:tcPr>
          <w:p w14:paraId="70463841"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Incidenza percentuali sull’economia territoriale</w:t>
            </w:r>
          </w:p>
        </w:tc>
        <w:tc>
          <w:tcPr>
            <w:tcW w:w="683" w:type="pct"/>
            <w:tcBorders>
              <w:top w:val="nil"/>
              <w:left w:val="nil"/>
              <w:bottom w:val="single" w:sz="4" w:space="0" w:color="auto"/>
              <w:right w:val="single" w:sz="4" w:space="0" w:color="auto"/>
            </w:tcBorders>
            <w:shd w:val="clear" w:color="auto" w:fill="D9D9D9" w:themeFill="background1" w:themeFillShade="D9"/>
            <w:vAlign w:val="center"/>
            <w:hideMark/>
          </w:tcPr>
          <w:p w14:paraId="50E90BED" w14:textId="77777777" w:rsidR="007F1D90" w:rsidRPr="007C1145" w:rsidRDefault="007F1D90" w:rsidP="00F446C3">
            <w:pPr>
              <w:spacing w:after="0" w:line="240" w:lineRule="auto"/>
              <w:jc w:val="center"/>
              <w:rPr>
                <w:rFonts w:ascii="Aptos" w:eastAsia="Times New Roman" w:hAnsi="Aptos" w:cstheme="minorHAnsi"/>
                <w:b/>
                <w:bCs/>
                <w:sz w:val="18"/>
                <w:szCs w:val="18"/>
                <w:lang w:eastAsia="it-IT"/>
              </w:rPr>
            </w:pPr>
            <w:r w:rsidRPr="007C1145">
              <w:rPr>
                <w:rFonts w:ascii="Aptos" w:eastAsia="Times New Roman" w:hAnsi="Aptos" w:cstheme="minorHAnsi"/>
                <w:b/>
                <w:bCs/>
                <w:sz w:val="18"/>
                <w:szCs w:val="18"/>
                <w:lang w:eastAsia="it-IT"/>
              </w:rPr>
              <w:t xml:space="preserve">Posizioni per incidenza  </w:t>
            </w:r>
          </w:p>
          <w:p w14:paraId="177B55BF" w14:textId="77777777" w:rsidR="007F1D90" w:rsidRPr="007C1145" w:rsidRDefault="007F1D90" w:rsidP="00F446C3">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heme="minorHAnsi"/>
                <w:b/>
                <w:bCs/>
                <w:sz w:val="18"/>
                <w:szCs w:val="18"/>
                <w:lang w:eastAsia="it-IT"/>
              </w:rPr>
              <w:t>sull’economia territoriale</w:t>
            </w:r>
          </w:p>
        </w:tc>
        <w:tc>
          <w:tcPr>
            <w:tcW w:w="607" w:type="pct"/>
            <w:tcBorders>
              <w:top w:val="nil"/>
              <w:left w:val="nil"/>
              <w:bottom w:val="single" w:sz="4" w:space="0" w:color="auto"/>
              <w:right w:val="nil"/>
            </w:tcBorders>
            <w:shd w:val="clear" w:color="auto" w:fill="D9D9D9" w:themeFill="background1" w:themeFillShade="D9"/>
            <w:vAlign w:val="center"/>
            <w:hideMark/>
          </w:tcPr>
          <w:p w14:paraId="7195414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Valori assoluti</w:t>
            </w:r>
          </w:p>
          <w:p w14:paraId="05F5FFD0"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(milioni di euro)</w:t>
            </w:r>
          </w:p>
        </w:tc>
        <w:tc>
          <w:tcPr>
            <w:tcW w:w="683" w:type="pct"/>
            <w:tcBorders>
              <w:top w:val="nil"/>
              <w:left w:val="nil"/>
              <w:bottom w:val="single" w:sz="4" w:space="0" w:color="auto"/>
              <w:right w:val="nil"/>
            </w:tcBorders>
            <w:shd w:val="clear" w:color="auto" w:fill="D9D9D9" w:themeFill="background1" w:themeFillShade="D9"/>
            <w:vAlign w:val="center"/>
            <w:hideMark/>
          </w:tcPr>
          <w:p w14:paraId="496378E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83" w:type="pct"/>
            <w:tcBorders>
              <w:top w:val="nil"/>
              <w:left w:val="nil"/>
              <w:bottom w:val="single" w:sz="4" w:space="0" w:color="auto"/>
              <w:right w:val="single" w:sz="4" w:space="0" w:color="auto"/>
            </w:tcBorders>
            <w:shd w:val="clear" w:color="auto" w:fill="D9D9D9" w:themeFill="background1" w:themeFillShade="D9"/>
            <w:vAlign w:val="center"/>
            <w:hideMark/>
          </w:tcPr>
          <w:p w14:paraId="0821DB16" w14:textId="77777777" w:rsidR="007F1D90" w:rsidRPr="007C1145" w:rsidRDefault="007F1D90" w:rsidP="00F446C3">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Posizioni per incidenza  </w:t>
            </w:r>
          </w:p>
          <w:p w14:paraId="15DE9211" w14:textId="77777777" w:rsidR="007F1D90" w:rsidRPr="007C1145" w:rsidRDefault="007F1D90" w:rsidP="00F446C3">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imes New Roman"/>
                <w:b/>
                <w:bCs/>
                <w:sz w:val="18"/>
                <w:szCs w:val="18"/>
                <w:lang w:eastAsia="it-IT"/>
              </w:rPr>
              <w:t>sull’economia territoriale</w:t>
            </w:r>
          </w:p>
        </w:tc>
      </w:tr>
      <w:tr w:rsidR="007F1D90" w:rsidRPr="007C1145" w14:paraId="5905E5FB"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17CDBD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Piemonte</w:t>
            </w:r>
          </w:p>
        </w:tc>
        <w:tc>
          <w:tcPr>
            <w:tcW w:w="606" w:type="pct"/>
            <w:tcBorders>
              <w:top w:val="nil"/>
              <w:left w:val="nil"/>
              <w:bottom w:val="nil"/>
              <w:right w:val="nil"/>
            </w:tcBorders>
            <w:noWrap/>
            <w:vAlign w:val="center"/>
            <w:hideMark/>
          </w:tcPr>
          <w:p w14:paraId="4E0ACDA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5.910</w:t>
            </w:r>
          </w:p>
        </w:tc>
        <w:tc>
          <w:tcPr>
            <w:tcW w:w="683" w:type="pct"/>
            <w:tcBorders>
              <w:top w:val="nil"/>
              <w:left w:val="nil"/>
              <w:bottom w:val="nil"/>
              <w:right w:val="nil"/>
            </w:tcBorders>
            <w:noWrap/>
            <w:vAlign w:val="center"/>
            <w:hideMark/>
          </w:tcPr>
          <w:p w14:paraId="0F81486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3,9</w:t>
            </w:r>
          </w:p>
        </w:tc>
        <w:tc>
          <w:tcPr>
            <w:tcW w:w="683" w:type="pct"/>
            <w:tcBorders>
              <w:top w:val="nil"/>
              <w:left w:val="nil"/>
              <w:bottom w:val="nil"/>
              <w:right w:val="single" w:sz="4" w:space="0" w:color="auto"/>
            </w:tcBorders>
            <w:noWrap/>
            <w:vAlign w:val="center"/>
            <w:hideMark/>
          </w:tcPr>
          <w:p w14:paraId="6DC2859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3</w:t>
            </w:r>
          </w:p>
        </w:tc>
        <w:tc>
          <w:tcPr>
            <w:tcW w:w="607" w:type="pct"/>
            <w:tcBorders>
              <w:top w:val="nil"/>
              <w:left w:val="nil"/>
              <w:bottom w:val="nil"/>
              <w:right w:val="nil"/>
            </w:tcBorders>
            <w:noWrap/>
            <w:vAlign w:val="center"/>
            <w:hideMark/>
          </w:tcPr>
          <w:p w14:paraId="5A8C796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9.927</w:t>
            </w:r>
          </w:p>
        </w:tc>
        <w:tc>
          <w:tcPr>
            <w:tcW w:w="683" w:type="pct"/>
            <w:tcBorders>
              <w:top w:val="nil"/>
              <w:left w:val="nil"/>
              <w:bottom w:val="nil"/>
              <w:right w:val="nil"/>
            </w:tcBorders>
            <w:noWrap/>
            <w:vAlign w:val="center"/>
            <w:hideMark/>
          </w:tcPr>
          <w:p w14:paraId="5A1951A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6,5</w:t>
            </w:r>
          </w:p>
        </w:tc>
        <w:tc>
          <w:tcPr>
            <w:tcW w:w="683" w:type="pct"/>
            <w:tcBorders>
              <w:top w:val="nil"/>
              <w:left w:val="nil"/>
              <w:bottom w:val="nil"/>
              <w:right w:val="single" w:sz="4" w:space="0" w:color="auto"/>
            </w:tcBorders>
            <w:noWrap/>
            <w:hideMark/>
          </w:tcPr>
          <w:p w14:paraId="185D941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3</w:t>
            </w:r>
          </w:p>
        </w:tc>
      </w:tr>
      <w:tr w:rsidR="007F1D90" w:rsidRPr="007C1145" w14:paraId="0AB47CF3"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254A28D"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Valle d'Aosta</w:t>
            </w:r>
          </w:p>
        </w:tc>
        <w:tc>
          <w:tcPr>
            <w:tcW w:w="606" w:type="pct"/>
            <w:tcBorders>
              <w:top w:val="nil"/>
              <w:left w:val="nil"/>
              <w:bottom w:val="nil"/>
              <w:right w:val="nil"/>
            </w:tcBorders>
            <w:noWrap/>
            <w:vAlign w:val="center"/>
            <w:hideMark/>
          </w:tcPr>
          <w:p w14:paraId="13ECE94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103</w:t>
            </w:r>
          </w:p>
        </w:tc>
        <w:tc>
          <w:tcPr>
            <w:tcW w:w="683" w:type="pct"/>
            <w:tcBorders>
              <w:top w:val="nil"/>
              <w:left w:val="nil"/>
              <w:bottom w:val="nil"/>
              <w:right w:val="nil"/>
            </w:tcBorders>
            <w:noWrap/>
            <w:vAlign w:val="center"/>
            <w:hideMark/>
          </w:tcPr>
          <w:p w14:paraId="02BEB59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w:t>
            </w:r>
          </w:p>
        </w:tc>
        <w:tc>
          <w:tcPr>
            <w:tcW w:w="683" w:type="pct"/>
            <w:tcBorders>
              <w:top w:val="nil"/>
              <w:left w:val="nil"/>
              <w:bottom w:val="nil"/>
              <w:right w:val="single" w:sz="4" w:space="0" w:color="auto"/>
            </w:tcBorders>
            <w:noWrap/>
            <w:vAlign w:val="center"/>
            <w:hideMark/>
          </w:tcPr>
          <w:p w14:paraId="694854E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16</w:t>
            </w:r>
          </w:p>
        </w:tc>
        <w:tc>
          <w:tcPr>
            <w:tcW w:w="607" w:type="pct"/>
            <w:tcBorders>
              <w:top w:val="nil"/>
              <w:left w:val="nil"/>
              <w:bottom w:val="nil"/>
              <w:right w:val="nil"/>
            </w:tcBorders>
            <w:noWrap/>
            <w:vAlign w:val="center"/>
            <w:hideMark/>
          </w:tcPr>
          <w:p w14:paraId="16EE7BA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176</w:t>
            </w:r>
          </w:p>
        </w:tc>
        <w:tc>
          <w:tcPr>
            <w:tcW w:w="683" w:type="pct"/>
            <w:tcBorders>
              <w:top w:val="nil"/>
              <w:left w:val="nil"/>
              <w:bottom w:val="nil"/>
              <w:right w:val="nil"/>
            </w:tcBorders>
            <w:noWrap/>
            <w:vAlign w:val="center"/>
            <w:hideMark/>
          </w:tcPr>
          <w:p w14:paraId="560AED6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3,2</w:t>
            </w:r>
          </w:p>
        </w:tc>
        <w:tc>
          <w:tcPr>
            <w:tcW w:w="683" w:type="pct"/>
            <w:tcBorders>
              <w:top w:val="nil"/>
              <w:left w:val="nil"/>
              <w:bottom w:val="nil"/>
              <w:right w:val="single" w:sz="4" w:space="0" w:color="auto"/>
            </w:tcBorders>
            <w:noWrap/>
            <w:hideMark/>
          </w:tcPr>
          <w:p w14:paraId="7C41FDD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19</w:t>
            </w:r>
          </w:p>
        </w:tc>
      </w:tr>
      <w:tr w:rsidR="007F1D90" w:rsidRPr="007C1145" w14:paraId="4B736311"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492A275B"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Lombardia</w:t>
            </w:r>
          </w:p>
        </w:tc>
        <w:tc>
          <w:tcPr>
            <w:tcW w:w="606" w:type="pct"/>
            <w:tcBorders>
              <w:top w:val="nil"/>
              <w:left w:val="nil"/>
              <w:bottom w:val="nil"/>
              <w:right w:val="nil"/>
            </w:tcBorders>
            <w:noWrap/>
            <w:vAlign w:val="center"/>
            <w:hideMark/>
          </w:tcPr>
          <w:p w14:paraId="7134A6E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20.848</w:t>
            </w:r>
          </w:p>
        </w:tc>
        <w:tc>
          <w:tcPr>
            <w:tcW w:w="683" w:type="pct"/>
            <w:tcBorders>
              <w:top w:val="nil"/>
              <w:left w:val="nil"/>
              <w:bottom w:val="nil"/>
              <w:right w:val="nil"/>
            </w:tcBorders>
            <w:noWrap/>
            <w:vAlign w:val="center"/>
            <w:hideMark/>
          </w:tcPr>
          <w:p w14:paraId="0BF495E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4,5</w:t>
            </w:r>
          </w:p>
        </w:tc>
        <w:tc>
          <w:tcPr>
            <w:tcW w:w="683" w:type="pct"/>
            <w:tcBorders>
              <w:top w:val="nil"/>
              <w:left w:val="nil"/>
              <w:bottom w:val="nil"/>
              <w:right w:val="single" w:sz="4" w:space="0" w:color="auto"/>
            </w:tcBorders>
            <w:noWrap/>
            <w:vAlign w:val="center"/>
            <w:hideMark/>
          </w:tcPr>
          <w:p w14:paraId="4127CDF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w:t>
            </w:r>
          </w:p>
        </w:tc>
        <w:tc>
          <w:tcPr>
            <w:tcW w:w="607" w:type="pct"/>
            <w:tcBorders>
              <w:top w:val="nil"/>
              <w:left w:val="nil"/>
              <w:bottom w:val="nil"/>
              <w:right w:val="nil"/>
            </w:tcBorders>
            <w:noWrap/>
            <w:vAlign w:val="center"/>
            <w:hideMark/>
          </w:tcPr>
          <w:p w14:paraId="2F15005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33.237</w:t>
            </w:r>
          </w:p>
        </w:tc>
        <w:tc>
          <w:tcPr>
            <w:tcW w:w="683" w:type="pct"/>
            <w:tcBorders>
              <w:top w:val="nil"/>
              <w:left w:val="nil"/>
              <w:bottom w:val="nil"/>
              <w:right w:val="nil"/>
            </w:tcBorders>
            <w:noWrap/>
            <w:vAlign w:val="center"/>
            <w:hideMark/>
          </w:tcPr>
          <w:p w14:paraId="53BA659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7,1</w:t>
            </w:r>
          </w:p>
        </w:tc>
        <w:tc>
          <w:tcPr>
            <w:tcW w:w="683" w:type="pct"/>
            <w:tcBorders>
              <w:top w:val="nil"/>
              <w:left w:val="nil"/>
              <w:bottom w:val="nil"/>
              <w:right w:val="single" w:sz="4" w:space="0" w:color="auto"/>
            </w:tcBorders>
            <w:noWrap/>
            <w:hideMark/>
          </w:tcPr>
          <w:p w14:paraId="30D7375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w:t>
            </w:r>
          </w:p>
        </w:tc>
      </w:tr>
      <w:tr w:rsidR="007F1D90" w:rsidRPr="007C1145" w14:paraId="62E7B046"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4AC682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Trentino-Alto Adige</w:t>
            </w:r>
          </w:p>
        </w:tc>
        <w:tc>
          <w:tcPr>
            <w:tcW w:w="606" w:type="pct"/>
            <w:tcBorders>
              <w:top w:val="nil"/>
              <w:left w:val="nil"/>
              <w:bottom w:val="nil"/>
              <w:right w:val="nil"/>
            </w:tcBorders>
            <w:noWrap/>
            <w:vAlign w:val="center"/>
            <w:hideMark/>
          </w:tcPr>
          <w:p w14:paraId="052580D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1.433</w:t>
            </w:r>
          </w:p>
        </w:tc>
        <w:tc>
          <w:tcPr>
            <w:tcW w:w="683" w:type="pct"/>
            <w:tcBorders>
              <w:top w:val="nil"/>
              <w:left w:val="nil"/>
              <w:bottom w:val="nil"/>
              <w:right w:val="nil"/>
            </w:tcBorders>
            <w:noWrap/>
            <w:vAlign w:val="center"/>
            <w:hideMark/>
          </w:tcPr>
          <w:p w14:paraId="0ACD2AB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2,7</w:t>
            </w:r>
          </w:p>
        </w:tc>
        <w:tc>
          <w:tcPr>
            <w:tcW w:w="683" w:type="pct"/>
            <w:tcBorders>
              <w:top w:val="nil"/>
              <w:left w:val="nil"/>
              <w:bottom w:val="nil"/>
              <w:right w:val="single" w:sz="4" w:space="0" w:color="auto"/>
            </w:tcBorders>
            <w:noWrap/>
            <w:vAlign w:val="center"/>
            <w:hideMark/>
          </w:tcPr>
          <w:p w14:paraId="7BECDAE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8</w:t>
            </w:r>
          </w:p>
        </w:tc>
        <w:tc>
          <w:tcPr>
            <w:tcW w:w="607" w:type="pct"/>
            <w:tcBorders>
              <w:top w:val="nil"/>
              <w:left w:val="nil"/>
              <w:bottom w:val="nil"/>
              <w:right w:val="nil"/>
            </w:tcBorders>
            <w:noWrap/>
            <w:vAlign w:val="center"/>
            <w:hideMark/>
          </w:tcPr>
          <w:p w14:paraId="489634F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2.625</w:t>
            </w:r>
          </w:p>
        </w:tc>
        <w:tc>
          <w:tcPr>
            <w:tcW w:w="683" w:type="pct"/>
            <w:tcBorders>
              <w:top w:val="nil"/>
              <w:left w:val="nil"/>
              <w:bottom w:val="nil"/>
              <w:right w:val="nil"/>
            </w:tcBorders>
            <w:noWrap/>
            <w:vAlign w:val="center"/>
            <w:hideMark/>
          </w:tcPr>
          <w:p w14:paraId="4579F2C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4,9</w:t>
            </w:r>
          </w:p>
        </w:tc>
        <w:tc>
          <w:tcPr>
            <w:tcW w:w="683" w:type="pct"/>
            <w:tcBorders>
              <w:top w:val="nil"/>
              <w:left w:val="nil"/>
              <w:bottom w:val="nil"/>
              <w:right w:val="single" w:sz="4" w:space="0" w:color="auto"/>
            </w:tcBorders>
            <w:noWrap/>
            <w:hideMark/>
          </w:tcPr>
          <w:p w14:paraId="726334A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9</w:t>
            </w:r>
          </w:p>
        </w:tc>
      </w:tr>
      <w:tr w:rsidR="007F1D90" w:rsidRPr="007C1145" w14:paraId="5E83310F"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6D6263E4"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Veneto</w:t>
            </w:r>
          </w:p>
        </w:tc>
        <w:tc>
          <w:tcPr>
            <w:tcW w:w="606" w:type="pct"/>
            <w:tcBorders>
              <w:top w:val="nil"/>
              <w:left w:val="nil"/>
              <w:bottom w:val="nil"/>
              <w:right w:val="nil"/>
            </w:tcBorders>
            <w:noWrap/>
            <w:vAlign w:val="center"/>
            <w:hideMark/>
          </w:tcPr>
          <w:p w14:paraId="729F025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5.087</w:t>
            </w:r>
          </w:p>
        </w:tc>
        <w:tc>
          <w:tcPr>
            <w:tcW w:w="683" w:type="pct"/>
            <w:tcBorders>
              <w:top w:val="nil"/>
              <w:left w:val="nil"/>
              <w:bottom w:val="nil"/>
              <w:right w:val="nil"/>
            </w:tcBorders>
            <w:noWrap/>
            <w:vAlign w:val="center"/>
            <w:hideMark/>
          </w:tcPr>
          <w:p w14:paraId="5929754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2685357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5</w:t>
            </w:r>
          </w:p>
        </w:tc>
        <w:tc>
          <w:tcPr>
            <w:tcW w:w="607" w:type="pct"/>
            <w:tcBorders>
              <w:top w:val="nil"/>
              <w:left w:val="nil"/>
              <w:bottom w:val="nil"/>
              <w:right w:val="nil"/>
            </w:tcBorders>
            <w:noWrap/>
            <w:vAlign w:val="center"/>
            <w:hideMark/>
          </w:tcPr>
          <w:p w14:paraId="5F617FD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10.221</w:t>
            </w:r>
          </w:p>
        </w:tc>
        <w:tc>
          <w:tcPr>
            <w:tcW w:w="683" w:type="pct"/>
            <w:tcBorders>
              <w:top w:val="nil"/>
              <w:left w:val="nil"/>
              <w:bottom w:val="nil"/>
              <w:right w:val="nil"/>
            </w:tcBorders>
            <w:noWrap/>
            <w:vAlign w:val="center"/>
            <w:hideMark/>
          </w:tcPr>
          <w:p w14:paraId="3A72DC0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5,6</w:t>
            </w:r>
          </w:p>
        </w:tc>
        <w:tc>
          <w:tcPr>
            <w:tcW w:w="683" w:type="pct"/>
            <w:tcBorders>
              <w:top w:val="nil"/>
              <w:left w:val="nil"/>
              <w:bottom w:val="nil"/>
              <w:right w:val="single" w:sz="4" w:space="0" w:color="auto"/>
            </w:tcBorders>
            <w:noWrap/>
            <w:hideMark/>
          </w:tcPr>
          <w:p w14:paraId="6370193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4</w:t>
            </w:r>
          </w:p>
        </w:tc>
      </w:tr>
      <w:tr w:rsidR="007F1D90" w:rsidRPr="007C1145" w14:paraId="28081BD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69FDF87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Friuli-Venezia Giulia</w:t>
            </w:r>
          </w:p>
        </w:tc>
        <w:tc>
          <w:tcPr>
            <w:tcW w:w="606" w:type="pct"/>
            <w:tcBorders>
              <w:top w:val="nil"/>
              <w:left w:val="nil"/>
              <w:bottom w:val="nil"/>
              <w:right w:val="nil"/>
            </w:tcBorders>
            <w:noWrap/>
            <w:vAlign w:val="center"/>
            <w:hideMark/>
          </w:tcPr>
          <w:p w14:paraId="4F32F72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1.078</w:t>
            </w:r>
          </w:p>
        </w:tc>
        <w:tc>
          <w:tcPr>
            <w:tcW w:w="683" w:type="pct"/>
            <w:tcBorders>
              <w:top w:val="nil"/>
              <w:left w:val="nil"/>
              <w:bottom w:val="nil"/>
              <w:right w:val="nil"/>
            </w:tcBorders>
            <w:noWrap/>
            <w:vAlign w:val="center"/>
            <w:hideMark/>
          </w:tcPr>
          <w:p w14:paraId="713F826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w:t>
            </w:r>
          </w:p>
        </w:tc>
        <w:tc>
          <w:tcPr>
            <w:tcW w:w="683" w:type="pct"/>
            <w:tcBorders>
              <w:top w:val="nil"/>
              <w:left w:val="nil"/>
              <w:bottom w:val="nil"/>
              <w:right w:val="single" w:sz="4" w:space="0" w:color="auto"/>
            </w:tcBorders>
            <w:noWrap/>
            <w:vAlign w:val="center"/>
            <w:hideMark/>
          </w:tcPr>
          <w:p w14:paraId="2C7AAC52"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10</w:t>
            </w:r>
          </w:p>
        </w:tc>
        <w:tc>
          <w:tcPr>
            <w:tcW w:w="607" w:type="pct"/>
            <w:tcBorders>
              <w:top w:val="nil"/>
              <w:left w:val="nil"/>
              <w:bottom w:val="nil"/>
              <w:right w:val="nil"/>
            </w:tcBorders>
            <w:noWrap/>
            <w:vAlign w:val="center"/>
            <w:hideMark/>
          </w:tcPr>
          <w:p w14:paraId="793185D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2.193</w:t>
            </w:r>
          </w:p>
        </w:tc>
        <w:tc>
          <w:tcPr>
            <w:tcW w:w="683" w:type="pct"/>
            <w:tcBorders>
              <w:top w:val="nil"/>
              <w:left w:val="nil"/>
              <w:bottom w:val="nil"/>
              <w:right w:val="nil"/>
            </w:tcBorders>
            <w:noWrap/>
            <w:vAlign w:val="center"/>
            <w:hideMark/>
          </w:tcPr>
          <w:p w14:paraId="7BE8E1A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5,2</w:t>
            </w:r>
          </w:p>
        </w:tc>
        <w:tc>
          <w:tcPr>
            <w:tcW w:w="683" w:type="pct"/>
            <w:tcBorders>
              <w:top w:val="nil"/>
              <w:left w:val="nil"/>
              <w:bottom w:val="nil"/>
              <w:right w:val="single" w:sz="4" w:space="0" w:color="auto"/>
            </w:tcBorders>
            <w:noWrap/>
            <w:hideMark/>
          </w:tcPr>
          <w:p w14:paraId="3025750C"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8</w:t>
            </w:r>
          </w:p>
        </w:tc>
      </w:tr>
      <w:tr w:rsidR="007F1D90" w:rsidRPr="007C1145" w14:paraId="2F5DD603"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A1FB4DB"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Liguria</w:t>
            </w:r>
          </w:p>
        </w:tc>
        <w:tc>
          <w:tcPr>
            <w:tcW w:w="606" w:type="pct"/>
            <w:tcBorders>
              <w:top w:val="nil"/>
              <w:left w:val="nil"/>
              <w:bottom w:val="nil"/>
              <w:right w:val="nil"/>
            </w:tcBorders>
            <w:noWrap/>
            <w:vAlign w:val="center"/>
            <w:hideMark/>
          </w:tcPr>
          <w:p w14:paraId="0D6A1B8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1.155</w:t>
            </w:r>
          </w:p>
        </w:tc>
        <w:tc>
          <w:tcPr>
            <w:tcW w:w="683" w:type="pct"/>
            <w:tcBorders>
              <w:top w:val="nil"/>
              <w:left w:val="nil"/>
              <w:bottom w:val="nil"/>
              <w:right w:val="nil"/>
            </w:tcBorders>
            <w:noWrap/>
            <w:vAlign w:val="center"/>
            <w:hideMark/>
          </w:tcPr>
          <w:p w14:paraId="3AAF38C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6F21F43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13</w:t>
            </w:r>
          </w:p>
        </w:tc>
        <w:tc>
          <w:tcPr>
            <w:tcW w:w="607" w:type="pct"/>
            <w:tcBorders>
              <w:top w:val="nil"/>
              <w:left w:val="nil"/>
              <w:bottom w:val="nil"/>
              <w:right w:val="nil"/>
            </w:tcBorders>
            <w:noWrap/>
            <w:vAlign w:val="center"/>
            <w:hideMark/>
          </w:tcPr>
          <w:p w14:paraId="04A3F97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2.042</w:t>
            </w:r>
          </w:p>
        </w:tc>
        <w:tc>
          <w:tcPr>
            <w:tcW w:w="683" w:type="pct"/>
            <w:tcBorders>
              <w:top w:val="nil"/>
              <w:left w:val="nil"/>
              <w:bottom w:val="nil"/>
              <w:right w:val="nil"/>
            </w:tcBorders>
            <w:noWrap/>
            <w:vAlign w:val="center"/>
            <w:hideMark/>
          </w:tcPr>
          <w:p w14:paraId="21A534E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3,6</w:t>
            </w:r>
          </w:p>
        </w:tc>
        <w:tc>
          <w:tcPr>
            <w:tcW w:w="683" w:type="pct"/>
            <w:tcBorders>
              <w:top w:val="nil"/>
              <w:left w:val="nil"/>
              <w:bottom w:val="nil"/>
              <w:right w:val="single" w:sz="4" w:space="0" w:color="auto"/>
            </w:tcBorders>
            <w:noWrap/>
            <w:hideMark/>
          </w:tcPr>
          <w:p w14:paraId="59EB350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13</w:t>
            </w:r>
          </w:p>
        </w:tc>
      </w:tr>
      <w:tr w:rsidR="007F1D90" w:rsidRPr="007C1145" w14:paraId="5E77609D"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3DE7F8B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Emilia-Romagna</w:t>
            </w:r>
          </w:p>
        </w:tc>
        <w:tc>
          <w:tcPr>
            <w:tcW w:w="606" w:type="pct"/>
            <w:tcBorders>
              <w:top w:val="nil"/>
              <w:left w:val="nil"/>
              <w:bottom w:val="nil"/>
              <w:right w:val="nil"/>
            </w:tcBorders>
            <w:noWrap/>
            <w:vAlign w:val="center"/>
            <w:hideMark/>
          </w:tcPr>
          <w:p w14:paraId="073D9D9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5.011</w:t>
            </w:r>
          </w:p>
        </w:tc>
        <w:tc>
          <w:tcPr>
            <w:tcW w:w="683" w:type="pct"/>
            <w:tcBorders>
              <w:top w:val="nil"/>
              <w:left w:val="nil"/>
              <w:bottom w:val="nil"/>
              <w:right w:val="nil"/>
            </w:tcBorders>
            <w:noWrap/>
            <w:vAlign w:val="center"/>
            <w:hideMark/>
          </w:tcPr>
          <w:p w14:paraId="61D2544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5CF940F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7</w:t>
            </w:r>
          </w:p>
        </w:tc>
        <w:tc>
          <w:tcPr>
            <w:tcW w:w="607" w:type="pct"/>
            <w:tcBorders>
              <w:top w:val="nil"/>
              <w:left w:val="nil"/>
              <w:bottom w:val="nil"/>
              <w:right w:val="nil"/>
            </w:tcBorders>
            <w:noWrap/>
            <w:vAlign w:val="center"/>
            <w:hideMark/>
          </w:tcPr>
          <w:p w14:paraId="613E8E5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9.808</w:t>
            </w:r>
          </w:p>
        </w:tc>
        <w:tc>
          <w:tcPr>
            <w:tcW w:w="683" w:type="pct"/>
            <w:tcBorders>
              <w:top w:val="nil"/>
              <w:left w:val="nil"/>
              <w:bottom w:val="nil"/>
              <w:right w:val="nil"/>
            </w:tcBorders>
            <w:noWrap/>
            <w:vAlign w:val="center"/>
            <w:hideMark/>
          </w:tcPr>
          <w:p w14:paraId="37E7591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5,4</w:t>
            </w:r>
          </w:p>
        </w:tc>
        <w:tc>
          <w:tcPr>
            <w:tcW w:w="683" w:type="pct"/>
            <w:tcBorders>
              <w:top w:val="nil"/>
              <w:left w:val="nil"/>
              <w:bottom w:val="nil"/>
              <w:right w:val="single" w:sz="4" w:space="0" w:color="auto"/>
            </w:tcBorders>
            <w:noWrap/>
            <w:hideMark/>
          </w:tcPr>
          <w:p w14:paraId="415113F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6</w:t>
            </w:r>
          </w:p>
        </w:tc>
      </w:tr>
      <w:tr w:rsidR="007F1D90" w:rsidRPr="007C1145" w14:paraId="6777D808"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4C2533C"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Toscana</w:t>
            </w:r>
          </w:p>
        </w:tc>
        <w:tc>
          <w:tcPr>
            <w:tcW w:w="606" w:type="pct"/>
            <w:tcBorders>
              <w:top w:val="nil"/>
              <w:left w:val="nil"/>
              <w:bottom w:val="nil"/>
              <w:right w:val="nil"/>
            </w:tcBorders>
            <w:noWrap/>
            <w:vAlign w:val="center"/>
            <w:hideMark/>
          </w:tcPr>
          <w:p w14:paraId="4DFFE35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3.735</w:t>
            </w:r>
          </w:p>
        </w:tc>
        <w:tc>
          <w:tcPr>
            <w:tcW w:w="683" w:type="pct"/>
            <w:tcBorders>
              <w:top w:val="nil"/>
              <w:left w:val="nil"/>
              <w:bottom w:val="nil"/>
              <w:right w:val="nil"/>
            </w:tcBorders>
            <w:noWrap/>
            <w:vAlign w:val="center"/>
            <w:hideMark/>
          </w:tcPr>
          <w:p w14:paraId="6CC233F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w:t>
            </w:r>
          </w:p>
        </w:tc>
        <w:tc>
          <w:tcPr>
            <w:tcW w:w="683" w:type="pct"/>
            <w:tcBorders>
              <w:top w:val="nil"/>
              <w:left w:val="nil"/>
              <w:bottom w:val="nil"/>
              <w:right w:val="single" w:sz="4" w:space="0" w:color="auto"/>
            </w:tcBorders>
            <w:noWrap/>
            <w:vAlign w:val="center"/>
            <w:hideMark/>
          </w:tcPr>
          <w:p w14:paraId="715041A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4</w:t>
            </w:r>
          </w:p>
        </w:tc>
        <w:tc>
          <w:tcPr>
            <w:tcW w:w="607" w:type="pct"/>
            <w:tcBorders>
              <w:top w:val="nil"/>
              <w:left w:val="nil"/>
              <w:bottom w:val="nil"/>
              <w:right w:val="nil"/>
            </w:tcBorders>
            <w:noWrap/>
            <w:vAlign w:val="center"/>
            <w:hideMark/>
          </w:tcPr>
          <w:p w14:paraId="2EF3830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7.283</w:t>
            </w:r>
          </w:p>
        </w:tc>
        <w:tc>
          <w:tcPr>
            <w:tcW w:w="683" w:type="pct"/>
            <w:tcBorders>
              <w:top w:val="nil"/>
              <w:left w:val="nil"/>
              <w:bottom w:val="nil"/>
              <w:right w:val="nil"/>
            </w:tcBorders>
            <w:noWrap/>
            <w:vAlign w:val="center"/>
            <w:hideMark/>
          </w:tcPr>
          <w:p w14:paraId="4EF76C6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5,6</w:t>
            </w:r>
          </w:p>
        </w:tc>
        <w:tc>
          <w:tcPr>
            <w:tcW w:w="683" w:type="pct"/>
            <w:tcBorders>
              <w:top w:val="nil"/>
              <w:left w:val="nil"/>
              <w:bottom w:val="nil"/>
              <w:right w:val="single" w:sz="4" w:space="0" w:color="auto"/>
            </w:tcBorders>
            <w:noWrap/>
            <w:hideMark/>
          </w:tcPr>
          <w:p w14:paraId="05068DB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Pr>
                <w:rFonts w:ascii="Aptos" w:eastAsia="Times New Roman" w:hAnsi="Aptos" w:cs="Times New Roman"/>
                <w:i/>
                <w:iCs/>
                <w:sz w:val="18"/>
                <w:szCs w:val="18"/>
                <w:lang w:eastAsia="it-IT"/>
              </w:rPr>
              <w:t>5</w:t>
            </w:r>
          </w:p>
        </w:tc>
      </w:tr>
      <w:tr w:rsidR="007F1D90" w:rsidRPr="007C1145" w14:paraId="7B2E1A87"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7BA7A556"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Umbria</w:t>
            </w:r>
          </w:p>
        </w:tc>
        <w:tc>
          <w:tcPr>
            <w:tcW w:w="606" w:type="pct"/>
            <w:tcBorders>
              <w:top w:val="nil"/>
              <w:left w:val="nil"/>
              <w:bottom w:val="nil"/>
              <w:right w:val="nil"/>
            </w:tcBorders>
            <w:noWrap/>
            <w:vAlign w:val="center"/>
            <w:hideMark/>
          </w:tcPr>
          <w:p w14:paraId="697ECCC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644</w:t>
            </w:r>
          </w:p>
        </w:tc>
        <w:tc>
          <w:tcPr>
            <w:tcW w:w="683" w:type="pct"/>
            <w:tcBorders>
              <w:top w:val="nil"/>
              <w:left w:val="nil"/>
              <w:bottom w:val="nil"/>
              <w:right w:val="nil"/>
            </w:tcBorders>
            <w:noWrap/>
            <w:vAlign w:val="center"/>
            <w:hideMark/>
          </w:tcPr>
          <w:p w14:paraId="4083B85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w:t>
            </w:r>
          </w:p>
        </w:tc>
        <w:tc>
          <w:tcPr>
            <w:tcW w:w="683" w:type="pct"/>
            <w:tcBorders>
              <w:top w:val="nil"/>
              <w:left w:val="nil"/>
              <w:bottom w:val="nil"/>
              <w:right w:val="single" w:sz="4" w:space="0" w:color="auto"/>
            </w:tcBorders>
            <w:noWrap/>
            <w:vAlign w:val="center"/>
            <w:hideMark/>
          </w:tcPr>
          <w:p w14:paraId="18443368"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9</w:t>
            </w:r>
          </w:p>
        </w:tc>
        <w:tc>
          <w:tcPr>
            <w:tcW w:w="607" w:type="pct"/>
            <w:tcBorders>
              <w:top w:val="nil"/>
              <w:left w:val="nil"/>
              <w:bottom w:val="nil"/>
              <w:right w:val="nil"/>
            </w:tcBorders>
            <w:noWrap/>
            <w:vAlign w:val="center"/>
            <w:hideMark/>
          </w:tcPr>
          <w:p w14:paraId="0B74E70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1.105</w:t>
            </w:r>
          </w:p>
        </w:tc>
        <w:tc>
          <w:tcPr>
            <w:tcW w:w="683" w:type="pct"/>
            <w:tcBorders>
              <w:top w:val="nil"/>
              <w:left w:val="nil"/>
              <w:bottom w:val="nil"/>
              <w:right w:val="nil"/>
            </w:tcBorders>
            <w:noWrap/>
            <w:vAlign w:val="center"/>
            <w:hideMark/>
          </w:tcPr>
          <w:p w14:paraId="1ED01E5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4,4</w:t>
            </w:r>
          </w:p>
        </w:tc>
        <w:tc>
          <w:tcPr>
            <w:tcW w:w="683" w:type="pct"/>
            <w:tcBorders>
              <w:top w:val="nil"/>
              <w:left w:val="nil"/>
              <w:bottom w:val="nil"/>
              <w:right w:val="single" w:sz="4" w:space="0" w:color="auto"/>
            </w:tcBorders>
            <w:noWrap/>
            <w:hideMark/>
          </w:tcPr>
          <w:p w14:paraId="31288975"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11</w:t>
            </w:r>
          </w:p>
        </w:tc>
      </w:tr>
      <w:tr w:rsidR="007F1D90" w:rsidRPr="007C1145" w14:paraId="61E3037E"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32BCA2C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Marche</w:t>
            </w:r>
          </w:p>
        </w:tc>
        <w:tc>
          <w:tcPr>
            <w:tcW w:w="606" w:type="pct"/>
            <w:tcBorders>
              <w:top w:val="nil"/>
              <w:left w:val="nil"/>
              <w:bottom w:val="nil"/>
              <w:right w:val="nil"/>
            </w:tcBorders>
            <w:noWrap/>
            <w:vAlign w:val="center"/>
            <w:hideMark/>
          </w:tcPr>
          <w:p w14:paraId="09BCADB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1.280</w:t>
            </w:r>
          </w:p>
        </w:tc>
        <w:tc>
          <w:tcPr>
            <w:tcW w:w="683" w:type="pct"/>
            <w:tcBorders>
              <w:top w:val="nil"/>
              <w:left w:val="nil"/>
              <w:bottom w:val="nil"/>
              <w:right w:val="nil"/>
            </w:tcBorders>
            <w:noWrap/>
            <w:vAlign w:val="center"/>
            <w:hideMark/>
          </w:tcPr>
          <w:p w14:paraId="26620D8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1AAD6356"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6</w:t>
            </w:r>
          </w:p>
        </w:tc>
        <w:tc>
          <w:tcPr>
            <w:tcW w:w="607" w:type="pct"/>
            <w:tcBorders>
              <w:top w:val="nil"/>
              <w:left w:val="nil"/>
              <w:bottom w:val="nil"/>
              <w:right w:val="nil"/>
            </w:tcBorders>
            <w:noWrap/>
            <w:vAlign w:val="center"/>
            <w:hideMark/>
          </w:tcPr>
          <w:p w14:paraId="08C8A0A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2.432</w:t>
            </w:r>
          </w:p>
        </w:tc>
        <w:tc>
          <w:tcPr>
            <w:tcW w:w="683" w:type="pct"/>
            <w:tcBorders>
              <w:top w:val="nil"/>
              <w:left w:val="nil"/>
              <w:bottom w:val="nil"/>
              <w:right w:val="nil"/>
            </w:tcBorders>
            <w:noWrap/>
            <w:vAlign w:val="center"/>
            <w:hideMark/>
          </w:tcPr>
          <w:p w14:paraId="13C8DCC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5,3</w:t>
            </w:r>
          </w:p>
        </w:tc>
        <w:tc>
          <w:tcPr>
            <w:tcW w:w="683" w:type="pct"/>
            <w:tcBorders>
              <w:top w:val="nil"/>
              <w:left w:val="nil"/>
              <w:bottom w:val="nil"/>
              <w:right w:val="single" w:sz="4" w:space="0" w:color="auto"/>
            </w:tcBorders>
            <w:noWrap/>
            <w:hideMark/>
          </w:tcPr>
          <w:p w14:paraId="1BCB50A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7</w:t>
            </w:r>
          </w:p>
        </w:tc>
      </w:tr>
      <w:tr w:rsidR="007F1D90" w:rsidRPr="007C1145" w14:paraId="3F091437"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D09E245"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Lazio</w:t>
            </w:r>
          </w:p>
        </w:tc>
        <w:tc>
          <w:tcPr>
            <w:tcW w:w="606" w:type="pct"/>
            <w:tcBorders>
              <w:top w:val="nil"/>
              <w:left w:val="nil"/>
              <w:bottom w:val="nil"/>
              <w:right w:val="nil"/>
            </w:tcBorders>
            <w:noWrap/>
            <w:vAlign w:val="center"/>
            <w:hideMark/>
          </w:tcPr>
          <w:p w14:paraId="5F3A67A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11.410</w:t>
            </w:r>
          </w:p>
        </w:tc>
        <w:tc>
          <w:tcPr>
            <w:tcW w:w="683" w:type="pct"/>
            <w:tcBorders>
              <w:top w:val="nil"/>
              <w:left w:val="nil"/>
              <w:bottom w:val="nil"/>
              <w:right w:val="nil"/>
            </w:tcBorders>
            <w:noWrap/>
            <w:vAlign w:val="center"/>
            <w:hideMark/>
          </w:tcPr>
          <w:p w14:paraId="5EA8464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5,2</w:t>
            </w:r>
          </w:p>
        </w:tc>
        <w:tc>
          <w:tcPr>
            <w:tcW w:w="683" w:type="pct"/>
            <w:tcBorders>
              <w:top w:val="nil"/>
              <w:left w:val="nil"/>
              <w:bottom w:val="nil"/>
              <w:right w:val="single" w:sz="4" w:space="0" w:color="auto"/>
            </w:tcBorders>
            <w:noWrap/>
            <w:vAlign w:val="center"/>
            <w:hideMark/>
          </w:tcPr>
          <w:p w14:paraId="789D7B0B"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p>
        </w:tc>
        <w:tc>
          <w:tcPr>
            <w:tcW w:w="607" w:type="pct"/>
            <w:tcBorders>
              <w:top w:val="nil"/>
              <w:left w:val="nil"/>
              <w:bottom w:val="nil"/>
              <w:right w:val="nil"/>
            </w:tcBorders>
            <w:noWrap/>
            <w:vAlign w:val="center"/>
            <w:hideMark/>
          </w:tcPr>
          <w:p w14:paraId="4C863FF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17.730</w:t>
            </w:r>
          </w:p>
        </w:tc>
        <w:tc>
          <w:tcPr>
            <w:tcW w:w="683" w:type="pct"/>
            <w:tcBorders>
              <w:top w:val="nil"/>
              <w:left w:val="nil"/>
              <w:bottom w:val="nil"/>
              <w:right w:val="nil"/>
            </w:tcBorders>
            <w:noWrap/>
            <w:vAlign w:val="center"/>
            <w:hideMark/>
          </w:tcPr>
          <w:p w14:paraId="5551DBC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8,1</w:t>
            </w:r>
          </w:p>
        </w:tc>
        <w:tc>
          <w:tcPr>
            <w:tcW w:w="683" w:type="pct"/>
            <w:tcBorders>
              <w:top w:val="nil"/>
              <w:left w:val="nil"/>
              <w:bottom w:val="nil"/>
              <w:right w:val="single" w:sz="4" w:space="0" w:color="auto"/>
            </w:tcBorders>
            <w:noWrap/>
            <w:hideMark/>
          </w:tcPr>
          <w:p w14:paraId="406A09DC"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p>
        </w:tc>
      </w:tr>
      <w:tr w:rsidR="007F1D90" w:rsidRPr="007C1145" w14:paraId="086B17F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A594CE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Abruzzo</w:t>
            </w:r>
          </w:p>
        </w:tc>
        <w:tc>
          <w:tcPr>
            <w:tcW w:w="606" w:type="pct"/>
            <w:tcBorders>
              <w:top w:val="nil"/>
              <w:left w:val="nil"/>
              <w:bottom w:val="nil"/>
              <w:right w:val="nil"/>
            </w:tcBorders>
            <w:noWrap/>
            <w:vAlign w:val="center"/>
            <w:hideMark/>
          </w:tcPr>
          <w:p w14:paraId="2EE852B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749</w:t>
            </w:r>
          </w:p>
        </w:tc>
        <w:tc>
          <w:tcPr>
            <w:tcW w:w="683" w:type="pct"/>
            <w:tcBorders>
              <w:top w:val="nil"/>
              <w:left w:val="nil"/>
              <w:bottom w:val="nil"/>
              <w:right w:val="nil"/>
            </w:tcBorders>
            <w:noWrap/>
            <w:vAlign w:val="center"/>
            <w:hideMark/>
          </w:tcPr>
          <w:p w14:paraId="21B95E8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5F6BBE5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14</w:t>
            </w:r>
          </w:p>
        </w:tc>
        <w:tc>
          <w:tcPr>
            <w:tcW w:w="607" w:type="pct"/>
            <w:tcBorders>
              <w:top w:val="nil"/>
              <w:left w:val="nil"/>
              <w:bottom w:val="nil"/>
              <w:right w:val="nil"/>
            </w:tcBorders>
            <w:noWrap/>
            <w:vAlign w:val="center"/>
            <w:hideMark/>
          </w:tcPr>
          <w:p w14:paraId="437258B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1.394</w:t>
            </w:r>
          </w:p>
        </w:tc>
        <w:tc>
          <w:tcPr>
            <w:tcW w:w="683" w:type="pct"/>
            <w:tcBorders>
              <w:top w:val="nil"/>
              <w:left w:val="nil"/>
              <w:bottom w:val="nil"/>
              <w:right w:val="nil"/>
            </w:tcBorders>
            <w:noWrap/>
            <w:vAlign w:val="center"/>
            <w:hideMark/>
          </w:tcPr>
          <w:p w14:paraId="14C22C0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w:t>
            </w:r>
          </w:p>
        </w:tc>
        <w:tc>
          <w:tcPr>
            <w:tcW w:w="683" w:type="pct"/>
            <w:tcBorders>
              <w:top w:val="nil"/>
              <w:left w:val="nil"/>
              <w:bottom w:val="nil"/>
              <w:right w:val="single" w:sz="4" w:space="0" w:color="auto"/>
            </w:tcBorders>
            <w:noWrap/>
            <w:hideMark/>
          </w:tcPr>
          <w:p w14:paraId="7820410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12</w:t>
            </w:r>
          </w:p>
        </w:tc>
      </w:tr>
      <w:tr w:rsidR="007F1D90" w:rsidRPr="007C1145" w14:paraId="3C8BF1C9"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0F8211CE"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Molise</w:t>
            </w:r>
          </w:p>
        </w:tc>
        <w:tc>
          <w:tcPr>
            <w:tcW w:w="606" w:type="pct"/>
            <w:tcBorders>
              <w:top w:val="nil"/>
              <w:left w:val="nil"/>
              <w:bottom w:val="nil"/>
              <w:right w:val="nil"/>
            </w:tcBorders>
            <w:noWrap/>
            <w:vAlign w:val="center"/>
            <w:hideMark/>
          </w:tcPr>
          <w:p w14:paraId="0BF1C77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162</w:t>
            </w:r>
          </w:p>
        </w:tc>
        <w:tc>
          <w:tcPr>
            <w:tcW w:w="683" w:type="pct"/>
            <w:tcBorders>
              <w:top w:val="nil"/>
              <w:left w:val="nil"/>
              <w:bottom w:val="nil"/>
              <w:right w:val="nil"/>
            </w:tcBorders>
            <w:noWrap/>
            <w:vAlign w:val="center"/>
            <w:hideMark/>
          </w:tcPr>
          <w:p w14:paraId="557E83A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2,2</w:t>
            </w:r>
          </w:p>
        </w:tc>
        <w:tc>
          <w:tcPr>
            <w:tcW w:w="683" w:type="pct"/>
            <w:tcBorders>
              <w:top w:val="nil"/>
              <w:left w:val="nil"/>
              <w:bottom w:val="nil"/>
              <w:right w:val="single" w:sz="4" w:space="0" w:color="auto"/>
            </w:tcBorders>
            <w:noWrap/>
            <w:vAlign w:val="center"/>
            <w:hideMark/>
          </w:tcPr>
          <w:p w14:paraId="718CE8C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12</w:t>
            </w:r>
          </w:p>
        </w:tc>
        <w:tc>
          <w:tcPr>
            <w:tcW w:w="607" w:type="pct"/>
            <w:tcBorders>
              <w:top w:val="nil"/>
              <w:left w:val="nil"/>
              <w:bottom w:val="nil"/>
              <w:right w:val="nil"/>
            </w:tcBorders>
            <w:noWrap/>
            <w:vAlign w:val="center"/>
            <w:hideMark/>
          </w:tcPr>
          <w:p w14:paraId="45CA9E44"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246</w:t>
            </w:r>
          </w:p>
        </w:tc>
        <w:tc>
          <w:tcPr>
            <w:tcW w:w="683" w:type="pct"/>
            <w:tcBorders>
              <w:top w:val="nil"/>
              <w:left w:val="nil"/>
              <w:bottom w:val="nil"/>
              <w:right w:val="nil"/>
            </w:tcBorders>
            <w:noWrap/>
            <w:vAlign w:val="center"/>
            <w:hideMark/>
          </w:tcPr>
          <w:p w14:paraId="0926624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w:t>
            </w:r>
          </w:p>
        </w:tc>
        <w:tc>
          <w:tcPr>
            <w:tcW w:w="683" w:type="pct"/>
            <w:tcBorders>
              <w:top w:val="nil"/>
              <w:left w:val="nil"/>
              <w:bottom w:val="nil"/>
              <w:right w:val="single" w:sz="4" w:space="0" w:color="auto"/>
            </w:tcBorders>
            <w:noWrap/>
            <w:hideMark/>
          </w:tcPr>
          <w:p w14:paraId="20962EBE"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17</w:t>
            </w:r>
          </w:p>
        </w:tc>
      </w:tr>
      <w:tr w:rsidR="007F1D90" w:rsidRPr="007C1145" w14:paraId="31A755AF"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5FC77FCA"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Campania</w:t>
            </w:r>
          </w:p>
        </w:tc>
        <w:tc>
          <w:tcPr>
            <w:tcW w:w="606" w:type="pct"/>
            <w:tcBorders>
              <w:top w:val="nil"/>
              <w:left w:val="nil"/>
              <w:bottom w:val="nil"/>
              <w:right w:val="nil"/>
            </w:tcBorders>
            <w:noWrap/>
            <w:vAlign w:val="center"/>
            <w:hideMark/>
          </w:tcPr>
          <w:p w14:paraId="037E451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3.074</w:t>
            </w:r>
          </w:p>
        </w:tc>
        <w:tc>
          <w:tcPr>
            <w:tcW w:w="683" w:type="pct"/>
            <w:tcBorders>
              <w:top w:val="nil"/>
              <w:left w:val="nil"/>
              <w:bottom w:val="nil"/>
              <w:right w:val="nil"/>
            </w:tcBorders>
            <w:noWrap/>
            <w:vAlign w:val="center"/>
            <w:hideMark/>
          </w:tcPr>
          <w:p w14:paraId="1E2C917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w:t>
            </w:r>
          </w:p>
        </w:tc>
        <w:tc>
          <w:tcPr>
            <w:tcW w:w="683" w:type="pct"/>
            <w:tcBorders>
              <w:top w:val="nil"/>
              <w:left w:val="nil"/>
              <w:bottom w:val="nil"/>
              <w:right w:val="single" w:sz="4" w:space="0" w:color="auto"/>
            </w:tcBorders>
            <w:noWrap/>
            <w:vAlign w:val="center"/>
            <w:hideMark/>
          </w:tcPr>
          <w:p w14:paraId="2ED5587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11</w:t>
            </w:r>
          </w:p>
        </w:tc>
        <w:tc>
          <w:tcPr>
            <w:tcW w:w="607" w:type="pct"/>
            <w:tcBorders>
              <w:top w:val="nil"/>
              <w:left w:val="nil"/>
              <w:bottom w:val="nil"/>
              <w:right w:val="nil"/>
            </w:tcBorders>
            <w:noWrap/>
            <w:vAlign w:val="center"/>
            <w:hideMark/>
          </w:tcPr>
          <w:p w14:paraId="49AFF66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5.887</w:t>
            </w:r>
          </w:p>
        </w:tc>
        <w:tc>
          <w:tcPr>
            <w:tcW w:w="683" w:type="pct"/>
            <w:tcBorders>
              <w:top w:val="nil"/>
              <w:left w:val="nil"/>
              <w:bottom w:val="nil"/>
              <w:right w:val="nil"/>
            </w:tcBorders>
            <w:noWrap/>
            <w:vAlign w:val="center"/>
            <w:hideMark/>
          </w:tcPr>
          <w:p w14:paraId="7E8D464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4,6</w:t>
            </w:r>
          </w:p>
        </w:tc>
        <w:tc>
          <w:tcPr>
            <w:tcW w:w="683" w:type="pct"/>
            <w:tcBorders>
              <w:top w:val="nil"/>
              <w:left w:val="nil"/>
              <w:bottom w:val="nil"/>
              <w:right w:val="single" w:sz="4" w:space="0" w:color="auto"/>
            </w:tcBorders>
            <w:noWrap/>
            <w:hideMark/>
          </w:tcPr>
          <w:p w14:paraId="0CCD0E3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10</w:t>
            </w:r>
          </w:p>
        </w:tc>
      </w:tr>
      <w:tr w:rsidR="007F1D90" w:rsidRPr="007C1145" w14:paraId="7C535495"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7B8EDE2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Puglia</w:t>
            </w:r>
          </w:p>
        </w:tc>
        <w:tc>
          <w:tcPr>
            <w:tcW w:w="606" w:type="pct"/>
            <w:tcBorders>
              <w:top w:val="nil"/>
              <w:left w:val="nil"/>
              <w:bottom w:val="nil"/>
              <w:right w:val="nil"/>
            </w:tcBorders>
            <w:noWrap/>
            <w:vAlign w:val="center"/>
            <w:hideMark/>
          </w:tcPr>
          <w:p w14:paraId="32ED9E9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1.723</w:t>
            </w:r>
          </w:p>
        </w:tc>
        <w:tc>
          <w:tcPr>
            <w:tcW w:w="683" w:type="pct"/>
            <w:tcBorders>
              <w:top w:val="nil"/>
              <w:left w:val="nil"/>
              <w:bottom w:val="nil"/>
              <w:right w:val="nil"/>
            </w:tcBorders>
            <w:noWrap/>
            <w:vAlign w:val="center"/>
            <w:hideMark/>
          </w:tcPr>
          <w:p w14:paraId="60E9DCA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06C2A55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15</w:t>
            </w:r>
          </w:p>
        </w:tc>
        <w:tc>
          <w:tcPr>
            <w:tcW w:w="607" w:type="pct"/>
            <w:tcBorders>
              <w:top w:val="nil"/>
              <w:left w:val="nil"/>
              <w:bottom w:val="nil"/>
              <w:right w:val="nil"/>
            </w:tcBorders>
            <w:noWrap/>
            <w:vAlign w:val="center"/>
            <w:hideMark/>
          </w:tcPr>
          <w:p w14:paraId="744D0C8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2.921</w:t>
            </w:r>
          </w:p>
        </w:tc>
        <w:tc>
          <w:tcPr>
            <w:tcW w:w="683" w:type="pct"/>
            <w:tcBorders>
              <w:top w:val="nil"/>
              <w:left w:val="nil"/>
              <w:bottom w:val="nil"/>
              <w:right w:val="nil"/>
            </w:tcBorders>
            <w:noWrap/>
            <w:vAlign w:val="center"/>
            <w:hideMark/>
          </w:tcPr>
          <w:p w14:paraId="4AE6C42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3,4</w:t>
            </w:r>
          </w:p>
        </w:tc>
        <w:tc>
          <w:tcPr>
            <w:tcW w:w="683" w:type="pct"/>
            <w:tcBorders>
              <w:top w:val="nil"/>
              <w:left w:val="nil"/>
              <w:bottom w:val="nil"/>
              <w:right w:val="single" w:sz="4" w:space="0" w:color="auto"/>
            </w:tcBorders>
            <w:noWrap/>
            <w:hideMark/>
          </w:tcPr>
          <w:p w14:paraId="11FEF03F"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16</w:t>
            </w:r>
          </w:p>
        </w:tc>
      </w:tr>
      <w:tr w:rsidR="007F1D90" w:rsidRPr="007C1145" w14:paraId="49249C68"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3E0E51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Basilicata</w:t>
            </w:r>
          </w:p>
        </w:tc>
        <w:tc>
          <w:tcPr>
            <w:tcW w:w="606" w:type="pct"/>
            <w:tcBorders>
              <w:top w:val="nil"/>
              <w:left w:val="nil"/>
              <w:bottom w:val="nil"/>
              <w:right w:val="nil"/>
            </w:tcBorders>
            <w:noWrap/>
            <w:vAlign w:val="center"/>
            <w:hideMark/>
          </w:tcPr>
          <w:p w14:paraId="05C0B0A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260</w:t>
            </w:r>
          </w:p>
        </w:tc>
        <w:tc>
          <w:tcPr>
            <w:tcW w:w="683" w:type="pct"/>
            <w:tcBorders>
              <w:top w:val="nil"/>
              <w:left w:val="nil"/>
              <w:bottom w:val="nil"/>
              <w:right w:val="nil"/>
            </w:tcBorders>
            <w:noWrap/>
            <w:vAlign w:val="center"/>
            <w:hideMark/>
          </w:tcPr>
          <w:p w14:paraId="4C4559E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w:t>
            </w:r>
          </w:p>
        </w:tc>
        <w:tc>
          <w:tcPr>
            <w:tcW w:w="683" w:type="pct"/>
            <w:tcBorders>
              <w:top w:val="nil"/>
              <w:left w:val="nil"/>
              <w:bottom w:val="nil"/>
              <w:right w:val="single" w:sz="4" w:space="0" w:color="auto"/>
            </w:tcBorders>
            <w:noWrap/>
            <w:vAlign w:val="center"/>
            <w:hideMark/>
          </w:tcPr>
          <w:p w14:paraId="1B9689A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17</w:t>
            </w:r>
          </w:p>
        </w:tc>
        <w:tc>
          <w:tcPr>
            <w:tcW w:w="607" w:type="pct"/>
            <w:tcBorders>
              <w:top w:val="nil"/>
              <w:left w:val="nil"/>
              <w:bottom w:val="nil"/>
              <w:right w:val="nil"/>
            </w:tcBorders>
            <w:noWrap/>
            <w:vAlign w:val="center"/>
            <w:hideMark/>
          </w:tcPr>
          <w:p w14:paraId="792A7405"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485</w:t>
            </w:r>
          </w:p>
        </w:tc>
        <w:tc>
          <w:tcPr>
            <w:tcW w:w="683" w:type="pct"/>
            <w:tcBorders>
              <w:top w:val="nil"/>
              <w:left w:val="nil"/>
              <w:bottom w:val="nil"/>
              <w:right w:val="nil"/>
            </w:tcBorders>
            <w:noWrap/>
            <w:vAlign w:val="center"/>
            <w:hideMark/>
          </w:tcPr>
          <w:p w14:paraId="6CB1ED2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3,5</w:t>
            </w:r>
          </w:p>
        </w:tc>
        <w:tc>
          <w:tcPr>
            <w:tcW w:w="683" w:type="pct"/>
            <w:tcBorders>
              <w:top w:val="nil"/>
              <w:left w:val="nil"/>
              <w:bottom w:val="nil"/>
              <w:right w:val="single" w:sz="4" w:space="0" w:color="auto"/>
            </w:tcBorders>
            <w:noWrap/>
            <w:hideMark/>
          </w:tcPr>
          <w:p w14:paraId="00E415C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15</w:t>
            </w:r>
          </w:p>
        </w:tc>
      </w:tr>
      <w:tr w:rsidR="007F1D90" w:rsidRPr="007C1145" w14:paraId="43B8E4B0"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1C911A33"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Calabria</w:t>
            </w:r>
          </w:p>
        </w:tc>
        <w:tc>
          <w:tcPr>
            <w:tcW w:w="606" w:type="pct"/>
            <w:tcBorders>
              <w:top w:val="nil"/>
              <w:left w:val="nil"/>
              <w:bottom w:val="nil"/>
              <w:right w:val="nil"/>
            </w:tcBorders>
            <w:noWrap/>
            <w:vAlign w:val="center"/>
            <w:hideMark/>
          </w:tcPr>
          <w:p w14:paraId="05A6E25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556</w:t>
            </w:r>
          </w:p>
        </w:tc>
        <w:tc>
          <w:tcPr>
            <w:tcW w:w="683" w:type="pct"/>
            <w:tcBorders>
              <w:top w:val="nil"/>
              <w:left w:val="nil"/>
              <w:bottom w:val="nil"/>
              <w:right w:val="nil"/>
            </w:tcBorders>
            <w:noWrap/>
            <w:vAlign w:val="center"/>
            <w:hideMark/>
          </w:tcPr>
          <w:p w14:paraId="6E46900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1,5</w:t>
            </w:r>
          </w:p>
        </w:tc>
        <w:tc>
          <w:tcPr>
            <w:tcW w:w="683" w:type="pct"/>
            <w:tcBorders>
              <w:top w:val="nil"/>
              <w:left w:val="nil"/>
              <w:bottom w:val="nil"/>
              <w:right w:val="single" w:sz="4" w:space="0" w:color="auto"/>
            </w:tcBorders>
            <w:noWrap/>
            <w:vAlign w:val="center"/>
            <w:hideMark/>
          </w:tcPr>
          <w:p w14:paraId="240F5320"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20</w:t>
            </w:r>
          </w:p>
        </w:tc>
        <w:tc>
          <w:tcPr>
            <w:tcW w:w="607" w:type="pct"/>
            <w:tcBorders>
              <w:top w:val="nil"/>
              <w:left w:val="nil"/>
              <w:bottom w:val="nil"/>
              <w:right w:val="nil"/>
            </w:tcBorders>
            <w:noWrap/>
            <w:vAlign w:val="center"/>
            <w:hideMark/>
          </w:tcPr>
          <w:p w14:paraId="7AF4C7AA"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1.201</w:t>
            </w:r>
          </w:p>
        </w:tc>
        <w:tc>
          <w:tcPr>
            <w:tcW w:w="683" w:type="pct"/>
            <w:tcBorders>
              <w:top w:val="nil"/>
              <w:left w:val="nil"/>
              <w:bottom w:val="nil"/>
              <w:right w:val="nil"/>
            </w:tcBorders>
            <w:noWrap/>
            <w:vAlign w:val="center"/>
            <w:hideMark/>
          </w:tcPr>
          <w:p w14:paraId="1B9CCB2F"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3,3</w:t>
            </w:r>
          </w:p>
        </w:tc>
        <w:tc>
          <w:tcPr>
            <w:tcW w:w="683" w:type="pct"/>
            <w:tcBorders>
              <w:top w:val="nil"/>
              <w:left w:val="nil"/>
              <w:bottom w:val="nil"/>
              <w:right w:val="single" w:sz="4" w:space="0" w:color="auto"/>
            </w:tcBorders>
            <w:noWrap/>
            <w:hideMark/>
          </w:tcPr>
          <w:p w14:paraId="692B7874"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r>
              <w:rPr>
                <w:rFonts w:ascii="Aptos" w:eastAsia="Times New Roman" w:hAnsi="Aptos" w:cs="Times New Roman"/>
                <w:i/>
                <w:iCs/>
                <w:sz w:val="18"/>
                <w:szCs w:val="18"/>
                <w:lang w:eastAsia="it-IT"/>
              </w:rPr>
              <w:t>8</w:t>
            </w:r>
          </w:p>
        </w:tc>
      </w:tr>
      <w:tr w:rsidR="007F1D90" w:rsidRPr="007C1145" w14:paraId="48530A32" w14:textId="77777777" w:rsidTr="00F446C3">
        <w:trPr>
          <w:trHeight w:hRule="exact" w:val="284"/>
        </w:trPr>
        <w:tc>
          <w:tcPr>
            <w:tcW w:w="1056" w:type="pct"/>
            <w:tcBorders>
              <w:top w:val="nil"/>
              <w:left w:val="single" w:sz="4" w:space="0" w:color="auto"/>
              <w:bottom w:val="nil"/>
              <w:right w:val="single" w:sz="4" w:space="0" w:color="auto"/>
            </w:tcBorders>
            <w:noWrap/>
            <w:vAlign w:val="center"/>
            <w:hideMark/>
          </w:tcPr>
          <w:p w14:paraId="272A1905"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Sicilia</w:t>
            </w:r>
          </w:p>
        </w:tc>
        <w:tc>
          <w:tcPr>
            <w:tcW w:w="606" w:type="pct"/>
            <w:tcBorders>
              <w:top w:val="nil"/>
              <w:left w:val="nil"/>
              <w:bottom w:val="nil"/>
              <w:right w:val="nil"/>
            </w:tcBorders>
            <w:noWrap/>
            <w:vAlign w:val="center"/>
            <w:hideMark/>
          </w:tcPr>
          <w:p w14:paraId="150E899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1.919</w:t>
            </w:r>
          </w:p>
        </w:tc>
        <w:tc>
          <w:tcPr>
            <w:tcW w:w="683" w:type="pct"/>
            <w:tcBorders>
              <w:top w:val="nil"/>
              <w:left w:val="nil"/>
              <w:bottom w:val="nil"/>
              <w:right w:val="nil"/>
            </w:tcBorders>
            <w:noWrap/>
            <w:vAlign w:val="center"/>
            <w:hideMark/>
          </w:tcPr>
          <w:p w14:paraId="69C054B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1,8</w:t>
            </w:r>
          </w:p>
        </w:tc>
        <w:tc>
          <w:tcPr>
            <w:tcW w:w="683" w:type="pct"/>
            <w:tcBorders>
              <w:top w:val="nil"/>
              <w:left w:val="nil"/>
              <w:bottom w:val="nil"/>
              <w:right w:val="single" w:sz="4" w:space="0" w:color="auto"/>
            </w:tcBorders>
            <w:noWrap/>
            <w:vAlign w:val="center"/>
            <w:hideMark/>
          </w:tcPr>
          <w:p w14:paraId="127EF6E8"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18</w:t>
            </w:r>
          </w:p>
        </w:tc>
        <w:tc>
          <w:tcPr>
            <w:tcW w:w="607" w:type="pct"/>
            <w:tcBorders>
              <w:top w:val="nil"/>
              <w:left w:val="nil"/>
              <w:bottom w:val="nil"/>
              <w:right w:val="nil"/>
            </w:tcBorders>
            <w:noWrap/>
            <w:vAlign w:val="center"/>
            <w:hideMark/>
          </w:tcPr>
          <w:p w14:paraId="2BD2D08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3.729</w:t>
            </w:r>
          </w:p>
        </w:tc>
        <w:tc>
          <w:tcPr>
            <w:tcW w:w="683" w:type="pct"/>
            <w:tcBorders>
              <w:top w:val="nil"/>
              <w:left w:val="nil"/>
              <w:bottom w:val="nil"/>
              <w:right w:val="nil"/>
            </w:tcBorders>
            <w:noWrap/>
            <w:vAlign w:val="center"/>
            <w:hideMark/>
          </w:tcPr>
          <w:p w14:paraId="51960E3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3,6</w:t>
            </w:r>
          </w:p>
        </w:tc>
        <w:tc>
          <w:tcPr>
            <w:tcW w:w="683" w:type="pct"/>
            <w:tcBorders>
              <w:top w:val="nil"/>
              <w:left w:val="nil"/>
              <w:bottom w:val="nil"/>
              <w:right w:val="single" w:sz="4" w:space="0" w:color="auto"/>
            </w:tcBorders>
            <w:noWrap/>
            <w:hideMark/>
          </w:tcPr>
          <w:p w14:paraId="04ABA7DA"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w:t>
            </w:r>
            <w:r>
              <w:rPr>
                <w:rFonts w:ascii="Aptos" w:eastAsia="Times New Roman" w:hAnsi="Aptos" w:cs="Times New Roman"/>
                <w:i/>
                <w:iCs/>
                <w:sz w:val="18"/>
                <w:szCs w:val="18"/>
                <w:lang w:eastAsia="it-IT"/>
              </w:rPr>
              <w:t>4</w:t>
            </w:r>
          </w:p>
        </w:tc>
      </w:tr>
      <w:tr w:rsidR="007F1D90" w:rsidRPr="007C1145" w14:paraId="4409AC12" w14:textId="77777777" w:rsidTr="00F446C3">
        <w:trPr>
          <w:trHeight w:hRule="exact" w:val="284"/>
        </w:trPr>
        <w:tc>
          <w:tcPr>
            <w:tcW w:w="1056" w:type="pct"/>
            <w:tcBorders>
              <w:top w:val="nil"/>
              <w:left w:val="single" w:sz="4" w:space="0" w:color="auto"/>
              <w:bottom w:val="single" w:sz="4" w:space="0" w:color="auto"/>
              <w:right w:val="single" w:sz="4" w:space="0" w:color="auto"/>
            </w:tcBorders>
            <w:noWrap/>
            <w:vAlign w:val="center"/>
            <w:hideMark/>
          </w:tcPr>
          <w:p w14:paraId="34BAFC40"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Sardegna</w:t>
            </w:r>
          </w:p>
        </w:tc>
        <w:tc>
          <w:tcPr>
            <w:tcW w:w="606" w:type="pct"/>
            <w:tcBorders>
              <w:top w:val="nil"/>
              <w:left w:val="nil"/>
              <w:bottom w:val="nil"/>
              <w:right w:val="nil"/>
            </w:tcBorders>
            <w:noWrap/>
            <w:vAlign w:val="center"/>
            <w:hideMark/>
          </w:tcPr>
          <w:p w14:paraId="046C062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694</w:t>
            </w:r>
          </w:p>
        </w:tc>
        <w:tc>
          <w:tcPr>
            <w:tcW w:w="683" w:type="pct"/>
            <w:tcBorders>
              <w:top w:val="nil"/>
              <w:left w:val="nil"/>
              <w:bottom w:val="nil"/>
              <w:right w:val="nil"/>
            </w:tcBorders>
            <w:noWrap/>
            <w:vAlign w:val="center"/>
            <w:hideMark/>
          </w:tcPr>
          <w:p w14:paraId="3F34FD61"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w:t>
            </w:r>
          </w:p>
        </w:tc>
        <w:tc>
          <w:tcPr>
            <w:tcW w:w="683" w:type="pct"/>
            <w:tcBorders>
              <w:top w:val="nil"/>
              <w:left w:val="nil"/>
              <w:bottom w:val="nil"/>
              <w:right w:val="single" w:sz="4" w:space="0" w:color="auto"/>
            </w:tcBorders>
            <w:noWrap/>
            <w:vAlign w:val="center"/>
            <w:hideMark/>
          </w:tcPr>
          <w:p w14:paraId="6EE94BB3"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19</w:t>
            </w:r>
          </w:p>
        </w:tc>
        <w:tc>
          <w:tcPr>
            <w:tcW w:w="607" w:type="pct"/>
            <w:tcBorders>
              <w:top w:val="nil"/>
              <w:left w:val="nil"/>
              <w:bottom w:val="nil"/>
              <w:right w:val="nil"/>
            </w:tcBorders>
            <w:noWrap/>
            <w:vAlign w:val="center"/>
            <w:hideMark/>
          </w:tcPr>
          <w:p w14:paraId="070A0D9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1.150</w:t>
            </w:r>
          </w:p>
        </w:tc>
        <w:tc>
          <w:tcPr>
            <w:tcW w:w="683" w:type="pct"/>
            <w:tcBorders>
              <w:top w:val="nil"/>
              <w:left w:val="nil"/>
              <w:bottom w:val="nil"/>
              <w:right w:val="nil"/>
            </w:tcBorders>
            <w:noWrap/>
            <w:vAlign w:val="center"/>
            <w:hideMark/>
          </w:tcPr>
          <w:p w14:paraId="27B7FB33"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2,9</w:t>
            </w:r>
          </w:p>
        </w:tc>
        <w:tc>
          <w:tcPr>
            <w:tcW w:w="683" w:type="pct"/>
            <w:tcBorders>
              <w:top w:val="nil"/>
              <w:left w:val="nil"/>
              <w:bottom w:val="nil"/>
              <w:right w:val="single" w:sz="4" w:space="0" w:color="auto"/>
            </w:tcBorders>
            <w:noWrap/>
            <w:hideMark/>
          </w:tcPr>
          <w:p w14:paraId="582CA6D9" w14:textId="77777777" w:rsidR="007F1D90" w:rsidRPr="007C1145" w:rsidRDefault="007F1D90" w:rsidP="00F446C3">
            <w:pPr>
              <w:spacing w:after="0" w:line="240" w:lineRule="auto"/>
              <w:jc w:val="right"/>
              <w:rPr>
                <w:rFonts w:ascii="Aptos" w:eastAsia="Times New Roman" w:hAnsi="Aptos" w:cs="Times New Roman"/>
                <w:i/>
                <w:iCs/>
                <w:sz w:val="18"/>
                <w:szCs w:val="18"/>
                <w:lang w:eastAsia="it-IT"/>
              </w:rPr>
            </w:pPr>
            <w:r w:rsidRPr="007C1145">
              <w:rPr>
                <w:rFonts w:ascii="Aptos" w:eastAsia="Times New Roman" w:hAnsi="Aptos" w:cs="Times New Roman"/>
                <w:i/>
                <w:iCs/>
                <w:sz w:val="18"/>
                <w:szCs w:val="18"/>
                <w:lang w:eastAsia="it-IT"/>
              </w:rPr>
              <w:t>20</w:t>
            </w:r>
          </w:p>
        </w:tc>
      </w:tr>
      <w:tr w:rsidR="007F1D90" w:rsidRPr="007C1145" w14:paraId="62CB977C"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421B1531"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NORD-OVEST</w:t>
            </w:r>
          </w:p>
        </w:tc>
        <w:tc>
          <w:tcPr>
            <w:tcW w:w="606" w:type="pct"/>
            <w:tcBorders>
              <w:top w:val="single" w:sz="4" w:space="0" w:color="auto"/>
              <w:left w:val="nil"/>
              <w:bottom w:val="nil"/>
              <w:right w:val="nil"/>
            </w:tcBorders>
            <w:noWrap/>
            <w:vAlign w:val="center"/>
            <w:hideMark/>
          </w:tcPr>
          <w:p w14:paraId="2408CCCC"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28.016</w:t>
            </w:r>
          </w:p>
        </w:tc>
        <w:tc>
          <w:tcPr>
            <w:tcW w:w="683" w:type="pct"/>
            <w:tcBorders>
              <w:top w:val="single" w:sz="4" w:space="0" w:color="auto"/>
              <w:left w:val="nil"/>
              <w:bottom w:val="nil"/>
              <w:right w:val="nil"/>
            </w:tcBorders>
            <w:noWrap/>
            <w:vAlign w:val="center"/>
            <w:hideMark/>
          </w:tcPr>
          <w:p w14:paraId="00A57957"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4,1</w:t>
            </w:r>
          </w:p>
        </w:tc>
        <w:tc>
          <w:tcPr>
            <w:tcW w:w="683" w:type="pct"/>
            <w:tcBorders>
              <w:top w:val="single" w:sz="4" w:space="0" w:color="auto"/>
              <w:left w:val="nil"/>
              <w:bottom w:val="nil"/>
              <w:right w:val="single" w:sz="4" w:space="0" w:color="auto"/>
            </w:tcBorders>
            <w:noWrap/>
            <w:vAlign w:val="center"/>
            <w:hideMark/>
          </w:tcPr>
          <w:p w14:paraId="672CC02A"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single" w:sz="4" w:space="0" w:color="auto"/>
              <w:left w:val="nil"/>
              <w:bottom w:val="nil"/>
              <w:right w:val="nil"/>
            </w:tcBorders>
            <w:noWrap/>
            <w:vAlign w:val="center"/>
            <w:hideMark/>
          </w:tcPr>
          <w:p w14:paraId="3AD508F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45.381</w:t>
            </w:r>
          </w:p>
        </w:tc>
        <w:tc>
          <w:tcPr>
            <w:tcW w:w="683" w:type="pct"/>
            <w:tcBorders>
              <w:top w:val="single" w:sz="4" w:space="0" w:color="auto"/>
              <w:left w:val="nil"/>
              <w:bottom w:val="nil"/>
              <w:right w:val="nil"/>
            </w:tcBorders>
            <w:noWrap/>
            <w:vAlign w:val="center"/>
            <w:hideMark/>
          </w:tcPr>
          <w:p w14:paraId="19C6AF46"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6,7</w:t>
            </w:r>
          </w:p>
        </w:tc>
        <w:tc>
          <w:tcPr>
            <w:tcW w:w="683" w:type="pct"/>
            <w:tcBorders>
              <w:top w:val="single" w:sz="4" w:space="0" w:color="auto"/>
              <w:left w:val="nil"/>
              <w:bottom w:val="nil"/>
              <w:right w:val="single" w:sz="4" w:space="0" w:color="auto"/>
            </w:tcBorders>
            <w:noWrap/>
            <w:vAlign w:val="center"/>
            <w:hideMark/>
          </w:tcPr>
          <w:p w14:paraId="763ED057"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5EDABDC4"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377F4FE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NORD-EST</w:t>
            </w:r>
          </w:p>
        </w:tc>
        <w:tc>
          <w:tcPr>
            <w:tcW w:w="606" w:type="pct"/>
            <w:tcBorders>
              <w:top w:val="nil"/>
              <w:left w:val="nil"/>
              <w:bottom w:val="nil"/>
              <w:right w:val="nil"/>
            </w:tcBorders>
            <w:noWrap/>
            <w:vAlign w:val="center"/>
            <w:hideMark/>
          </w:tcPr>
          <w:p w14:paraId="2A2850C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12.609</w:t>
            </w:r>
          </w:p>
        </w:tc>
        <w:tc>
          <w:tcPr>
            <w:tcW w:w="683" w:type="pct"/>
            <w:tcBorders>
              <w:top w:val="nil"/>
              <w:left w:val="nil"/>
              <w:bottom w:val="nil"/>
              <w:right w:val="nil"/>
            </w:tcBorders>
            <w:noWrap/>
            <w:vAlign w:val="center"/>
            <w:hideMark/>
          </w:tcPr>
          <w:p w14:paraId="67B03E5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w:t>
            </w:r>
          </w:p>
        </w:tc>
        <w:tc>
          <w:tcPr>
            <w:tcW w:w="683" w:type="pct"/>
            <w:tcBorders>
              <w:top w:val="nil"/>
              <w:left w:val="nil"/>
              <w:bottom w:val="nil"/>
              <w:right w:val="single" w:sz="4" w:space="0" w:color="auto"/>
            </w:tcBorders>
            <w:noWrap/>
            <w:vAlign w:val="center"/>
            <w:hideMark/>
          </w:tcPr>
          <w:p w14:paraId="6F551541"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2E1D438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24.846</w:t>
            </w:r>
          </w:p>
        </w:tc>
        <w:tc>
          <w:tcPr>
            <w:tcW w:w="683" w:type="pct"/>
            <w:tcBorders>
              <w:top w:val="nil"/>
              <w:left w:val="nil"/>
              <w:bottom w:val="nil"/>
              <w:right w:val="nil"/>
            </w:tcBorders>
            <w:noWrap/>
            <w:vAlign w:val="center"/>
            <w:hideMark/>
          </w:tcPr>
          <w:p w14:paraId="33B4F8C0"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5,4</w:t>
            </w:r>
          </w:p>
        </w:tc>
        <w:tc>
          <w:tcPr>
            <w:tcW w:w="683" w:type="pct"/>
            <w:tcBorders>
              <w:top w:val="nil"/>
              <w:left w:val="nil"/>
              <w:bottom w:val="nil"/>
              <w:right w:val="single" w:sz="4" w:space="0" w:color="auto"/>
            </w:tcBorders>
            <w:noWrap/>
            <w:vAlign w:val="center"/>
            <w:hideMark/>
          </w:tcPr>
          <w:p w14:paraId="40B79BA4"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5150B43A"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08AEE438"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CENTRO</w:t>
            </w:r>
          </w:p>
        </w:tc>
        <w:tc>
          <w:tcPr>
            <w:tcW w:w="606" w:type="pct"/>
            <w:tcBorders>
              <w:top w:val="nil"/>
              <w:left w:val="nil"/>
              <w:bottom w:val="nil"/>
              <w:right w:val="nil"/>
            </w:tcBorders>
            <w:noWrap/>
            <w:vAlign w:val="center"/>
            <w:hideMark/>
          </w:tcPr>
          <w:p w14:paraId="3875EDEB"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17.068</w:t>
            </w:r>
          </w:p>
        </w:tc>
        <w:tc>
          <w:tcPr>
            <w:tcW w:w="683" w:type="pct"/>
            <w:tcBorders>
              <w:top w:val="nil"/>
              <w:left w:val="nil"/>
              <w:bottom w:val="nil"/>
              <w:right w:val="nil"/>
            </w:tcBorders>
            <w:noWrap/>
            <w:vAlign w:val="center"/>
            <w:hideMark/>
          </w:tcPr>
          <w:p w14:paraId="1F352558"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4,1</w:t>
            </w:r>
          </w:p>
        </w:tc>
        <w:tc>
          <w:tcPr>
            <w:tcW w:w="683" w:type="pct"/>
            <w:tcBorders>
              <w:top w:val="nil"/>
              <w:left w:val="nil"/>
              <w:bottom w:val="nil"/>
              <w:right w:val="single" w:sz="4" w:space="0" w:color="auto"/>
            </w:tcBorders>
            <w:noWrap/>
            <w:vAlign w:val="center"/>
            <w:hideMark/>
          </w:tcPr>
          <w:p w14:paraId="54E653B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2325AC62"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28.551</w:t>
            </w:r>
          </w:p>
        </w:tc>
        <w:tc>
          <w:tcPr>
            <w:tcW w:w="683" w:type="pct"/>
            <w:tcBorders>
              <w:top w:val="nil"/>
              <w:left w:val="nil"/>
              <w:bottom w:val="nil"/>
              <w:right w:val="nil"/>
            </w:tcBorders>
            <w:noWrap/>
            <w:vAlign w:val="center"/>
            <w:hideMark/>
          </w:tcPr>
          <w:p w14:paraId="7752E17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6,8</w:t>
            </w:r>
          </w:p>
        </w:tc>
        <w:tc>
          <w:tcPr>
            <w:tcW w:w="683" w:type="pct"/>
            <w:tcBorders>
              <w:top w:val="nil"/>
              <w:left w:val="nil"/>
              <w:bottom w:val="nil"/>
              <w:right w:val="single" w:sz="4" w:space="0" w:color="auto"/>
            </w:tcBorders>
            <w:noWrap/>
            <w:vAlign w:val="center"/>
            <w:hideMark/>
          </w:tcPr>
          <w:p w14:paraId="41A0CFCD"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3FF86BED" w14:textId="77777777" w:rsidTr="00F446C3">
        <w:trPr>
          <w:trHeight w:hRule="exact" w:val="340"/>
        </w:trPr>
        <w:tc>
          <w:tcPr>
            <w:tcW w:w="1056" w:type="pct"/>
            <w:tcBorders>
              <w:top w:val="nil"/>
              <w:left w:val="single" w:sz="4" w:space="0" w:color="auto"/>
              <w:bottom w:val="nil"/>
              <w:right w:val="single" w:sz="4" w:space="0" w:color="auto"/>
            </w:tcBorders>
            <w:noWrap/>
            <w:vAlign w:val="center"/>
            <w:hideMark/>
          </w:tcPr>
          <w:p w14:paraId="201EFD39"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MEZZOGIORNO</w:t>
            </w:r>
          </w:p>
        </w:tc>
        <w:tc>
          <w:tcPr>
            <w:tcW w:w="606" w:type="pct"/>
            <w:tcBorders>
              <w:top w:val="nil"/>
              <w:left w:val="nil"/>
              <w:bottom w:val="nil"/>
              <w:right w:val="nil"/>
            </w:tcBorders>
            <w:noWrap/>
            <w:vAlign w:val="center"/>
            <w:hideMark/>
          </w:tcPr>
          <w:p w14:paraId="5FE5399D"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9.138</w:t>
            </w:r>
          </w:p>
        </w:tc>
        <w:tc>
          <w:tcPr>
            <w:tcW w:w="683" w:type="pct"/>
            <w:tcBorders>
              <w:top w:val="nil"/>
              <w:left w:val="nil"/>
              <w:bottom w:val="nil"/>
              <w:right w:val="nil"/>
            </w:tcBorders>
            <w:noWrap/>
            <w:vAlign w:val="center"/>
            <w:hideMark/>
          </w:tcPr>
          <w:p w14:paraId="77E027EE"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2,0</w:t>
            </w:r>
          </w:p>
        </w:tc>
        <w:tc>
          <w:tcPr>
            <w:tcW w:w="683" w:type="pct"/>
            <w:tcBorders>
              <w:top w:val="nil"/>
              <w:left w:val="nil"/>
              <w:bottom w:val="nil"/>
              <w:right w:val="single" w:sz="4" w:space="0" w:color="auto"/>
            </w:tcBorders>
            <w:noWrap/>
            <w:vAlign w:val="center"/>
            <w:hideMark/>
          </w:tcPr>
          <w:p w14:paraId="6D68C4E0"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607" w:type="pct"/>
            <w:tcBorders>
              <w:top w:val="nil"/>
              <w:left w:val="nil"/>
              <w:bottom w:val="nil"/>
              <w:right w:val="nil"/>
            </w:tcBorders>
            <w:noWrap/>
            <w:vAlign w:val="center"/>
            <w:hideMark/>
          </w:tcPr>
          <w:p w14:paraId="6755C97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17.013</w:t>
            </w:r>
          </w:p>
        </w:tc>
        <w:tc>
          <w:tcPr>
            <w:tcW w:w="683" w:type="pct"/>
            <w:tcBorders>
              <w:top w:val="nil"/>
              <w:left w:val="nil"/>
              <w:bottom w:val="nil"/>
              <w:right w:val="nil"/>
            </w:tcBorders>
            <w:noWrap/>
            <w:vAlign w:val="center"/>
            <w:hideMark/>
          </w:tcPr>
          <w:p w14:paraId="611F09C9" w14:textId="77777777" w:rsidR="007F1D90" w:rsidRPr="007C1145" w:rsidRDefault="007F1D90" w:rsidP="00F446C3">
            <w:pPr>
              <w:spacing w:after="0" w:line="240" w:lineRule="auto"/>
              <w:jc w:val="right"/>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3,7</w:t>
            </w:r>
          </w:p>
        </w:tc>
        <w:tc>
          <w:tcPr>
            <w:tcW w:w="683" w:type="pct"/>
            <w:tcBorders>
              <w:top w:val="nil"/>
              <w:left w:val="nil"/>
              <w:bottom w:val="nil"/>
              <w:right w:val="single" w:sz="4" w:space="0" w:color="auto"/>
            </w:tcBorders>
            <w:noWrap/>
            <w:vAlign w:val="center"/>
            <w:hideMark/>
          </w:tcPr>
          <w:p w14:paraId="7EC75442" w14:textId="77777777" w:rsidR="007F1D90" w:rsidRPr="007C1145" w:rsidRDefault="007F1D90" w:rsidP="00F446C3">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r>
      <w:tr w:rsidR="007F1D90" w:rsidRPr="007C1145" w14:paraId="185DA82C" w14:textId="77777777" w:rsidTr="00F446C3">
        <w:trPr>
          <w:trHeight w:hRule="exact" w:val="397"/>
        </w:trPr>
        <w:tc>
          <w:tcPr>
            <w:tcW w:w="105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5137FE"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ITALIA</w:t>
            </w:r>
          </w:p>
        </w:tc>
        <w:tc>
          <w:tcPr>
            <w:tcW w:w="606" w:type="pct"/>
            <w:tcBorders>
              <w:top w:val="single" w:sz="4" w:space="0" w:color="auto"/>
              <w:left w:val="nil"/>
              <w:bottom w:val="single" w:sz="4" w:space="0" w:color="auto"/>
              <w:right w:val="nil"/>
            </w:tcBorders>
            <w:shd w:val="clear" w:color="000000" w:fill="F2F2F2"/>
            <w:noWrap/>
            <w:vAlign w:val="center"/>
            <w:hideMark/>
          </w:tcPr>
          <w:p w14:paraId="1EDDDD66"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66.830</w:t>
            </w:r>
          </w:p>
        </w:tc>
        <w:tc>
          <w:tcPr>
            <w:tcW w:w="683" w:type="pct"/>
            <w:tcBorders>
              <w:top w:val="single" w:sz="4" w:space="0" w:color="auto"/>
              <w:left w:val="nil"/>
              <w:bottom w:val="single" w:sz="4" w:space="0" w:color="auto"/>
              <w:right w:val="nil"/>
            </w:tcBorders>
            <w:shd w:val="clear" w:color="000000" w:fill="F2F2F2"/>
            <w:noWrap/>
            <w:vAlign w:val="center"/>
            <w:hideMark/>
          </w:tcPr>
          <w:p w14:paraId="40834887"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3,3</w:t>
            </w:r>
          </w:p>
        </w:tc>
        <w:tc>
          <w:tcPr>
            <w:tcW w:w="683" w:type="pct"/>
            <w:tcBorders>
              <w:top w:val="single" w:sz="4" w:space="0" w:color="auto"/>
              <w:left w:val="nil"/>
              <w:bottom w:val="single" w:sz="4" w:space="0" w:color="auto"/>
              <w:right w:val="single" w:sz="4" w:space="0" w:color="auto"/>
            </w:tcBorders>
            <w:shd w:val="clear" w:color="000000" w:fill="F2F2F2"/>
            <w:noWrap/>
            <w:vAlign w:val="center"/>
            <w:hideMark/>
          </w:tcPr>
          <w:p w14:paraId="07823EE9"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w:t>
            </w:r>
          </w:p>
        </w:tc>
        <w:tc>
          <w:tcPr>
            <w:tcW w:w="607" w:type="pct"/>
            <w:tcBorders>
              <w:top w:val="single" w:sz="4" w:space="0" w:color="auto"/>
              <w:left w:val="nil"/>
              <w:bottom w:val="single" w:sz="4" w:space="0" w:color="auto"/>
              <w:right w:val="nil"/>
            </w:tcBorders>
            <w:shd w:val="clear" w:color="000000" w:fill="F2F2F2"/>
            <w:noWrap/>
            <w:vAlign w:val="center"/>
            <w:hideMark/>
          </w:tcPr>
          <w:p w14:paraId="2AB41849"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115.791</w:t>
            </w:r>
          </w:p>
        </w:tc>
        <w:tc>
          <w:tcPr>
            <w:tcW w:w="683" w:type="pct"/>
            <w:tcBorders>
              <w:top w:val="single" w:sz="4" w:space="0" w:color="auto"/>
              <w:left w:val="nil"/>
              <w:bottom w:val="single" w:sz="4" w:space="0" w:color="auto"/>
              <w:right w:val="nil"/>
            </w:tcBorders>
            <w:shd w:val="clear" w:color="000000" w:fill="F2F2F2"/>
            <w:noWrap/>
            <w:vAlign w:val="center"/>
            <w:hideMark/>
          </w:tcPr>
          <w:p w14:paraId="5A145F5E" w14:textId="77777777" w:rsidR="007F1D90" w:rsidRPr="007C1145" w:rsidRDefault="007F1D90" w:rsidP="00F446C3">
            <w:pPr>
              <w:spacing w:after="0" w:line="240" w:lineRule="auto"/>
              <w:jc w:val="right"/>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5,7</w:t>
            </w:r>
          </w:p>
        </w:tc>
        <w:tc>
          <w:tcPr>
            <w:tcW w:w="683" w:type="pct"/>
            <w:tcBorders>
              <w:top w:val="single" w:sz="4" w:space="0" w:color="auto"/>
              <w:left w:val="nil"/>
              <w:bottom w:val="single" w:sz="4" w:space="0" w:color="auto"/>
              <w:right w:val="single" w:sz="4" w:space="0" w:color="auto"/>
            </w:tcBorders>
            <w:shd w:val="clear" w:color="000000" w:fill="F2F2F2"/>
            <w:noWrap/>
            <w:vAlign w:val="center"/>
            <w:hideMark/>
          </w:tcPr>
          <w:p w14:paraId="5A9B717D" w14:textId="77777777" w:rsidR="007F1D90" w:rsidRPr="007C1145" w:rsidRDefault="007F1D90" w:rsidP="00F446C3">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w:t>
            </w:r>
          </w:p>
        </w:tc>
      </w:tr>
    </w:tbl>
    <w:p w14:paraId="5C0958B4" w14:textId="77777777" w:rsidR="007F1D90" w:rsidRPr="007C1145" w:rsidRDefault="007F1D90" w:rsidP="007F1D90">
      <w:pPr>
        <w:spacing w:before="60" w:after="360"/>
        <w:rPr>
          <w:rFonts w:eastAsia="Times New Roman" w:cstheme="minorHAnsi"/>
          <w:sz w:val="18"/>
          <w:lang w:eastAsia="it-IT"/>
        </w:rPr>
      </w:pPr>
      <w:r w:rsidRPr="007C1145">
        <w:rPr>
          <w:rFonts w:eastAsia="Times New Roman" w:cstheme="minorHAnsi"/>
          <w:sz w:val="18"/>
          <w:lang w:eastAsia="it-IT"/>
        </w:rPr>
        <w:t>Fonte: Centro Studi Tagliacarne - Unioncamere, Fondazione Symbola, 2026</w:t>
      </w:r>
    </w:p>
    <w:p w14:paraId="451C1EAE" w14:textId="77777777" w:rsidR="00B67FB7" w:rsidRPr="00493ED4" w:rsidRDefault="00B67FB7" w:rsidP="0007491E">
      <w:pPr>
        <w:autoSpaceDE w:val="0"/>
        <w:autoSpaceDN w:val="0"/>
        <w:adjustRightInd w:val="0"/>
        <w:spacing w:after="0" w:line="240" w:lineRule="auto"/>
        <w:jc w:val="both"/>
        <w:rPr>
          <w:rFonts w:ascii="Arial" w:eastAsia="Times New Roman" w:hAnsi="Arial" w:cs="Arial"/>
          <w:bCs/>
          <w:sz w:val="20"/>
          <w:szCs w:val="20"/>
          <w:lang w:eastAsia="it-IT"/>
        </w:rPr>
      </w:pPr>
    </w:p>
    <w:p w14:paraId="22F08389" w14:textId="77777777" w:rsidR="00696378" w:rsidRDefault="00696378" w:rsidP="005624D6">
      <w:pPr>
        <w:spacing w:before="480" w:after="0"/>
        <w:rPr>
          <w:rFonts w:eastAsia="Times New Roman" w:cstheme="minorHAnsi"/>
          <w:b/>
          <w:sz w:val="24"/>
          <w:szCs w:val="24"/>
          <w:lang w:eastAsia="it-IT"/>
        </w:rPr>
      </w:pPr>
    </w:p>
    <w:p w14:paraId="673E1216" w14:textId="77777777" w:rsidR="0093694D" w:rsidRDefault="0093694D" w:rsidP="005624D6">
      <w:pPr>
        <w:spacing w:before="480" w:after="0"/>
        <w:rPr>
          <w:rFonts w:eastAsia="Times New Roman" w:cstheme="minorHAnsi"/>
          <w:b/>
          <w:sz w:val="24"/>
          <w:szCs w:val="24"/>
          <w:lang w:eastAsia="it-IT"/>
        </w:rPr>
      </w:pPr>
    </w:p>
    <w:p w14:paraId="42FCBA36" w14:textId="7B898EF4" w:rsidR="005624D6" w:rsidRPr="007C1145" w:rsidRDefault="005624D6" w:rsidP="005624D6">
      <w:pPr>
        <w:spacing w:before="480" w:after="0"/>
        <w:rPr>
          <w:rFonts w:eastAsia="Times New Roman" w:cstheme="minorHAnsi"/>
          <w:b/>
          <w:sz w:val="24"/>
          <w:szCs w:val="24"/>
          <w:lang w:eastAsia="it-IT"/>
        </w:rPr>
      </w:pPr>
      <w:r w:rsidRPr="007C1145">
        <w:rPr>
          <w:rFonts w:eastAsia="Times New Roman" w:cstheme="minorHAnsi"/>
          <w:b/>
          <w:sz w:val="24"/>
          <w:szCs w:val="24"/>
          <w:lang w:eastAsia="it-IT"/>
        </w:rPr>
        <w:t>Occupazione del Sistema Produttivo Culturale e Creativo per regioni e macroaree</w:t>
      </w:r>
    </w:p>
    <w:p w14:paraId="748079CA" w14:textId="77777777" w:rsidR="005624D6" w:rsidRPr="007C1145" w:rsidRDefault="005624D6" w:rsidP="005624D6">
      <w:pPr>
        <w:shd w:val="clear" w:color="auto" w:fill="FFFFFF" w:themeFill="background1"/>
        <w:spacing w:after="0"/>
        <w:jc w:val="both"/>
        <w:rPr>
          <w:rFonts w:eastAsia="Times New Roman" w:cstheme="minorHAnsi"/>
          <w:sz w:val="18"/>
          <w:lang w:eastAsia="it-IT"/>
        </w:rPr>
      </w:pPr>
      <w:r w:rsidRPr="007C1145">
        <w:rPr>
          <w:rFonts w:eastAsia="Times New Roman" w:cstheme="minorHAnsi"/>
          <w:lang w:eastAsia="it-IT"/>
        </w:rPr>
        <w:t xml:space="preserve"> 2025 (valori assoluti e incidenze sul totale economia regionale e di macroarea)</w:t>
      </w:r>
      <w:r w:rsidRPr="007C1145">
        <w:rPr>
          <w:rFonts w:eastAsia="Times New Roman" w:cstheme="minorHAnsi"/>
          <w:sz w:val="18"/>
          <w:lang w:eastAsia="it-IT"/>
        </w:rPr>
        <w:t xml:space="preserve"> </w:t>
      </w:r>
    </w:p>
    <w:tbl>
      <w:tblPr>
        <w:tblW w:w="5000" w:type="pct"/>
        <w:tblCellMar>
          <w:left w:w="70" w:type="dxa"/>
          <w:right w:w="70" w:type="dxa"/>
        </w:tblCellMar>
        <w:tblLook w:val="04A0" w:firstRow="1" w:lastRow="0" w:firstColumn="1" w:lastColumn="0" w:noHBand="0" w:noVBand="1"/>
      </w:tblPr>
      <w:tblGrid>
        <w:gridCol w:w="2033"/>
        <w:gridCol w:w="1167"/>
        <w:gridCol w:w="1315"/>
        <w:gridCol w:w="1315"/>
        <w:gridCol w:w="1168"/>
        <w:gridCol w:w="1315"/>
        <w:gridCol w:w="1315"/>
      </w:tblGrid>
      <w:tr w:rsidR="005624D6" w:rsidRPr="007C1145" w14:paraId="2A807774" w14:textId="77777777" w:rsidTr="00AD452B">
        <w:trPr>
          <w:trHeight w:hRule="exact" w:val="397"/>
        </w:trPr>
        <w:tc>
          <w:tcPr>
            <w:tcW w:w="1096"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7FCD21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 </w:t>
            </w:r>
          </w:p>
        </w:tc>
        <w:tc>
          <w:tcPr>
            <w:tcW w:w="1953"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B98C8EA"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i/>
                <w:iCs/>
                <w:sz w:val="18"/>
                <w:szCs w:val="18"/>
                <w:lang w:eastAsia="it-IT"/>
              </w:rPr>
              <w:t>Core Cultura</w:t>
            </w:r>
          </w:p>
        </w:tc>
        <w:tc>
          <w:tcPr>
            <w:tcW w:w="1951"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2F60AAAD"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Sistema Produttivo Culturale e Creativo</w:t>
            </w:r>
          </w:p>
        </w:tc>
      </w:tr>
      <w:tr w:rsidR="005624D6" w:rsidRPr="007C1145" w14:paraId="03A1F3ED" w14:textId="77777777" w:rsidTr="00AD452B">
        <w:trPr>
          <w:trHeight w:hRule="exact" w:val="1551"/>
        </w:trPr>
        <w:tc>
          <w:tcPr>
            <w:tcW w:w="1096" w:type="pct"/>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1D73775B" w14:textId="77777777" w:rsidR="005624D6" w:rsidRPr="007C1145" w:rsidRDefault="005624D6" w:rsidP="00AD452B">
            <w:pPr>
              <w:spacing w:after="0" w:line="240" w:lineRule="auto"/>
              <w:rPr>
                <w:rFonts w:ascii="Aptos" w:eastAsia="Times New Roman" w:hAnsi="Aptos" w:cs="Times New Roman"/>
                <w:b/>
                <w:bCs/>
                <w:sz w:val="18"/>
                <w:szCs w:val="18"/>
                <w:lang w:eastAsia="it-IT"/>
              </w:rPr>
            </w:pPr>
          </w:p>
        </w:tc>
        <w:tc>
          <w:tcPr>
            <w:tcW w:w="646" w:type="pct"/>
            <w:tcBorders>
              <w:top w:val="nil"/>
              <w:left w:val="nil"/>
              <w:bottom w:val="single" w:sz="4" w:space="0" w:color="auto"/>
              <w:right w:val="nil"/>
            </w:tcBorders>
            <w:shd w:val="clear" w:color="auto" w:fill="D9D9D9" w:themeFill="background1" w:themeFillShade="D9"/>
            <w:vAlign w:val="center"/>
            <w:hideMark/>
          </w:tcPr>
          <w:p w14:paraId="71B6AC35"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Valori assoluti </w:t>
            </w:r>
          </w:p>
        </w:tc>
        <w:tc>
          <w:tcPr>
            <w:tcW w:w="661" w:type="pct"/>
            <w:tcBorders>
              <w:top w:val="nil"/>
              <w:left w:val="nil"/>
              <w:bottom w:val="single" w:sz="4" w:space="0" w:color="auto"/>
              <w:right w:val="nil"/>
            </w:tcBorders>
            <w:shd w:val="clear" w:color="auto" w:fill="D9D9D9" w:themeFill="background1" w:themeFillShade="D9"/>
            <w:vAlign w:val="center"/>
            <w:hideMark/>
          </w:tcPr>
          <w:p w14:paraId="07F95868"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46" w:type="pct"/>
            <w:tcBorders>
              <w:top w:val="nil"/>
              <w:left w:val="nil"/>
              <w:bottom w:val="single" w:sz="4" w:space="0" w:color="auto"/>
              <w:right w:val="single" w:sz="4" w:space="0" w:color="auto"/>
            </w:tcBorders>
            <w:shd w:val="clear" w:color="auto" w:fill="D9D9D9" w:themeFill="background1" w:themeFillShade="D9"/>
            <w:vAlign w:val="center"/>
            <w:hideMark/>
          </w:tcPr>
          <w:p w14:paraId="03C137AC"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Posizioni per incidenza  </w:t>
            </w:r>
          </w:p>
          <w:p w14:paraId="26816334" w14:textId="77777777" w:rsidR="005624D6" w:rsidRPr="007C1145" w:rsidRDefault="005624D6" w:rsidP="00AD452B">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imes New Roman"/>
                <w:b/>
                <w:bCs/>
                <w:sz w:val="18"/>
                <w:szCs w:val="18"/>
                <w:lang w:eastAsia="it-IT"/>
              </w:rPr>
              <w:t>sull’economia territoriale</w:t>
            </w:r>
          </w:p>
        </w:tc>
        <w:tc>
          <w:tcPr>
            <w:tcW w:w="646" w:type="pct"/>
            <w:tcBorders>
              <w:top w:val="nil"/>
              <w:left w:val="nil"/>
              <w:bottom w:val="single" w:sz="4" w:space="0" w:color="auto"/>
              <w:right w:val="nil"/>
            </w:tcBorders>
            <w:shd w:val="clear" w:color="auto" w:fill="D9D9D9" w:themeFill="background1" w:themeFillShade="D9"/>
            <w:vAlign w:val="center"/>
            <w:hideMark/>
          </w:tcPr>
          <w:p w14:paraId="4CC791B0"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 xml:space="preserve">Valori assoluti </w:t>
            </w:r>
          </w:p>
        </w:tc>
        <w:tc>
          <w:tcPr>
            <w:tcW w:w="661" w:type="pct"/>
            <w:tcBorders>
              <w:top w:val="nil"/>
              <w:left w:val="nil"/>
              <w:bottom w:val="single" w:sz="4" w:space="0" w:color="auto"/>
              <w:right w:val="nil"/>
            </w:tcBorders>
            <w:shd w:val="clear" w:color="auto" w:fill="D9D9D9" w:themeFill="background1" w:themeFillShade="D9"/>
            <w:vAlign w:val="center"/>
            <w:hideMark/>
          </w:tcPr>
          <w:p w14:paraId="1F2CF7F0" w14:textId="77777777" w:rsidR="005624D6" w:rsidRPr="007C1145" w:rsidRDefault="005624D6" w:rsidP="00AD452B">
            <w:pPr>
              <w:spacing w:after="0" w:line="240" w:lineRule="auto"/>
              <w:jc w:val="center"/>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Incidenze percentuali sull’economia territoriale</w:t>
            </w:r>
          </w:p>
        </w:tc>
        <w:tc>
          <w:tcPr>
            <w:tcW w:w="644" w:type="pct"/>
            <w:tcBorders>
              <w:top w:val="nil"/>
              <w:left w:val="nil"/>
              <w:bottom w:val="single" w:sz="4" w:space="0" w:color="auto"/>
              <w:right w:val="single" w:sz="4" w:space="0" w:color="auto"/>
            </w:tcBorders>
            <w:shd w:val="clear" w:color="auto" w:fill="D9D9D9" w:themeFill="background1" w:themeFillShade="D9"/>
            <w:vAlign w:val="center"/>
            <w:hideMark/>
          </w:tcPr>
          <w:p w14:paraId="1B30745A" w14:textId="77777777" w:rsidR="005624D6" w:rsidRPr="007C1145" w:rsidRDefault="005624D6" w:rsidP="00AD452B">
            <w:pPr>
              <w:spacing w:after="0" w:line="240" w:lineRule="auto"/>
              <w:jc w:val="center"/>
              <w:rPr>
                <w:rFonts w:ascii="Aptos" w:eastAsia="Times New Roman" w:hAnsi="Aptos" w:cstheme="minorHAnsi"/>
                <w:b/>
                <w:bCs/>
                <w:sz w:val="18"/>
                <w:szCs w:val="18"/>
                <w:lang w:eastAsia="it-IT"/>
              </w:rPr>
            </w:pPr>
            <w:r w:rsidRPr="007C1145">
              <w:rPr>
                <w:rFonts w:ascii="Aptos" w:eastAsia="Times New Roman" w:hAnsi="Aptos" w:cstheme="minorHAnsi"/>
                <w:b/>
                <w:bCs/>
                <w:sz w:val="18"/>
                <w:szCs w:val="18"/>
                <w:lang w:eastAsia="it-IT"/>
              </w:rPr>
              <w:t xml:space="preserve">Posizioni per incidenza  </w:t>
            </w:r>
          </w:p>
          <w:p w14:paraId="2CEC6315" w14:textId="77777777" w:rsidR="005624D6" w:rsidRPr="007C1145" w:rsidRDefault="005624D6" w:rsidP="00AD452B">
            <w:pPr>
              <w:spacing w:after="0" w:line="240" w:lineRule="auto"/>
              <w:jc w:val="center"/>
              <w:rPr>
                <w:rFonts w:ascii="Aptos" w:eastAsia="Times New Roman" w:hAnsi="Aptos" w:cs="Times New Roman"/>
                <w:b/>
                <w:bCs/>
                <w:i/>
                <w:iCs/>
                <w:sz w:val="18"/>
                <w:szCs w:val="18"/>
                <w:lang w:eastAsia="it-IT"/>
              </w:rPr>
            </w:pPr>
            <w:r w:rsidRPr="007C1145">
              <w:rPr>
                <w:rFonts w:ascii="Aptos" w:eastAsia="Times New Roman" w:hAnsi="Aptos" w:cstheme="minorHAnsi"/>
                <w:b/>
                <w:bCs/>
                <w:sz w:val="18"/>
                <w:szCs w:val="18"/>
                <w:lang w:eastAsia="it-IT"/>
              </w:rPr>
              <w:t>sull’economia territoriale</w:t>
            </w:r>
          </w:p>
        </w:tc>
      </w:tr>
      <w:tr w:rsidR="005624D6" w:rsidRPr="007C1145" w14:paraId="22A3C3C0"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7176FA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Piemonte</w:t>
            </w:r>
          </w:p>
        </w:tc>
        <w:tc>
          <w:tcPr>
            <w:tcW w:w="646" w:type="pct"/>
            <w:tcBorders>
              <w:top w:val="nil"/>
              <w:left w:val="single" w:sz="4" w:space="0" w:color="auto"/>
              <w:bottom w:val="nil"/>
              <w:right w:val="nil"/>
            </w:tcBorders>
            <w:noWrap/>
            <w:vAlign w:val="center"/>
            <w:hideMark/>
          </w:tcPr>
          <w:p w14:paraId="592398C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79.102</w:t>
            </w:r>
          </w:p>
        </w:tc>
        <w:tc>
          <w:tcPr>
            <w:tcW w:w="661" w:type="pct"/>
            <w:tcBorders>
              <w:top w:val="nil"/>
              <w:left w:val="nil"/>
              <w:bottom w:val="nil"/>
              <w:right w:val="nil"/>
            </w:tcBorders>
            <w:noWrap/>
            <w:vAlign w:val="center"/>
            <w:hideMark/>
          </w:tcPr>
          <w:p w14:paraId="45AA252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6" w:type="pct"/>
            <w:tcBorders>
              <w:top w:val="nil"/>
              <w:left w:val="nil"/>
              <w:bottom w:val="nil"/>
              <w:right w:val="single" w:sz="4" w:space="0" w:color="auto"/>
            </w:tcBorders>
            <w:noWrap/>
            <w:vAlign w:val="center"/>
            <w:hideMark/>
          </w:tcPr>
          <w:p w14:paraId="2B5F13F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3</w:t>
            </w:r>
          </w:p>
        </w:tc>
        <w:tc>
          <w:tcPr>
            <w:tcW w:w="646" w:type="pct"/>
            <w:tcBorders>
              <w:top w:val="nil"/>
              <w:left w:val="nil"/>
              <w:bottom w:val="nil"/>
              <w:right w:val="nil"/>
            </w:tcBorders>
            <w:noWrap/>
            <w:vAlign w:val="center"/>
            <w:hideMark/>
          </w:tcPr>
          <w:p w14:paraId="798EC92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126.133</w:t>
            </w:r>
          </w:p>
        </w:tc>
        <w:tc>
          <w:tcPr>
            <w:tcW w:w="661" w:type="pct"/>
            <w:tcBorders>
              <w:top w:val="nil"/>
              <w:left w:val="nil"/>
              <w:bottom w:val="nil"/>
              <w:right w:val="nil"/>
            </w:tcBorders>
            <w:noWrap/>
            <w:vAlign w:val="center"/>
            <w:hideMark/>
          </w:tcPr>
          <w:p w14:paraId="75C864E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6.3</w:t>
            </w:r>
          </w:p>
        </w:tc>
        <w:tc>
          <w:tcPr>
            <w:tcW w:w="644" w:type="pct"/>
            <w:tcBorders>
              <w:top w:val="nil"/>
              <w:left w:val="nil"/>
              <w:bottom w:val="nil"/>
              <w:right w:val="single" w:sz="4" w:space="0" w:color="auto"/>
            </w:tcBorders>
            <w:noWrap/>
            <w:vAlign w:val="center"/>
            <w:hideMark/>
          </w:tcPr>
          <w:p w14:paraId="23D44D3C"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3</w:t>
            </w:r>
          </w:p>
        </w:tc>
      </w:tr>
      <w:tr w:rsidR="005624D6" w:rsidRPr="007C1145" w14:paraId="1EC1609E"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F996521"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Valle d'Aosta</w:t>
            </w:r>
          </w:p>
        </w:tc>
        <w:tc>
          <w:tcPr>
            <w:tcW w:w="646" w:type="pct"/>
            <w:tcBorders>
              <w:top w:val="nil"/>
              <w:left w:val="single" w:sz="4" w:space="0" w:color="auto"/>
              <w:bottom w:val="nil"/>
              <w:right w:val="nil"/>
            </w:tcBorders>
            <w:noWrap/>
            <w:vAlign w:val="center"/>
            <w:hideMark/>
          </w:tcPr>
          <w:p w14:paraId="3AC98EA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1.460</w:t>
            </w:r>
          </w:p>
        </w:tc>
        <w:tc>
          <w:tcPr>
            <w:tcW w:w="661" w:type="pct"/>
            <w:tcBorders>
              <w:top w:val="nil"/>
              <w:left w:val="nil"/>
              <w:bottom w:val="nil"/>
              <w:right w:val="nil"/>
            </w:tcBorders>
            <w:noWrap/>
            <w:vAlign w:val="center"/>
            <w:hideMark/>
          </w:tcPr>
          <w:p w14:paraId="6172C3F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w:t>
            </w:r>
          </w:p>
        </w:tc>
        <w:tc>
          <w:tcPr>
            <w:tcW w:w="646" w:type="pct"/>
            <w:tcBorders>
              <w:top w:val="nil"/>
              <w:left w:val="nil"/>
              <w:bottom w:val="nil"/>
              <w:right w:val="single" w:sz="4" w:space="0" w:color="auto"/>
            </w:tcBorders>
            <w:noWrap/>
            <w:vAlign w:val="center"/>
            <w:hideMark/>
          </w:tcPr>
          <w:p w14:paraId="0AD5652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14</w:t>
            </w:r>
          </w:p>
        </w:tc>
        <w:tc>
          <w:tcPr>
            <w:tcW w:w="646" w:type="pct"/>
            <w:tcBorders>
              <w:top w:val="nil"/>
              <w:left w:val="nil"/>
              <w:bottom w:val="nil"/>
              <w:right w:val="nil"/>
            </w:tcBorders>
            <w:noWrap/>
            <w:vAlign w:val="center"/>
            <w:hideMark/>
          </w:tcPr>
          <w:p w14:paraId="379745E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2.632</w:t>
            </w:r>
          </w:p>
        </w:tc>
        <w:tc>
          <w:tcPr>
            <w:tcW w:w="661" w:type="pct"/>
            <w:tcBorders>
              <w:top w:val="nil"/>
              <w:left w:val="nil"/>
              <w:bottom w:val="nil"/>
              <w:right w:val="nil"/>
            </w:tcBorders>
            <w:noWrap/>
            <w:vAlign w:val="center"/>
            <w:hideMark/>
          </w:tcPr>
          <w:p w14:paraId="41610DC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4,1</w:t>
            </w:r>
          </w:p>
        </w:tc>
        <w:tc>
          <w:tcPr>
            <w:tcW w:w="644" w:type="pct"/>
            <w:tcBorders>
              <w:top w:val="nil"/>
              <w:left w:val="nil"/>
              <w:bottom w:val="nil"/>
              <w:right w:val="single" w:sz="4" w:space="0" w:color="auto"/>
            </w:tcBorders>
            <w:noWrap/>
            <w:vAlign w:val="center"/>
            <w:hideMark/>
          </w:tcPr>
          <w:p w14:paraId="435B405F"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14</w:t>
            </w:r>
          </w:p>
        </w:tc>
      </w:tr>
      <w:tr w:rsidR="005624D6" w:rsidRPr="007C1145" w14:paraId="4F7C0E29"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BA45AA5"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Lombardia</w:t>
            </w:r>
          </w:p>
        </w:tc>
        <w:tc>
          <w:tcPr>
            <w:tcW w:w="646" w:type="pct"/>
            <w:tcBorders>
              <w:top w:val="nil"/>
              <w:left w:val="single" w:sz="4" w:space="0" w:color="auto"/>
              <w:bottom w:val="nil"/>
              <w:right w:val="nil"/>
            </w:tcBorders>
            <w:noWrap/>
            <w:vAlign w:val="center"/>
            <w:hideMark/>
          </w:tcPr>
          <w:p w14:paraId="6B36768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238.839</w:t>
            </w:r>
          </w:p>
        </w:tc>
        <w:tc>
          <w:tcPr>
            <w:tcW w:w="661" w:type="pct"/>
            <w:tcBorders>
              <w:top w:val="nil"/>
              <w:left w:val="nil"/>
              <w:bottom w:val="nil"/>
              <w:right w:val="nil"/>
            </w:tcBorders>
            <w:noWrap/>
            <w:vAlign w:val="center"/>
            <w:hideMark/>
          </w:tcPr>
          <w:p w14:paraId="236F274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4,6</w:t>
            </w:r>
          </w:p>
        </w:tc>
        <w:tc>
          <w:tcPr>
            <w:tcW w:w="646" w:type="pct"/>
            <w:tcBorders>
              <w:top w:val="nil"/>
              <w:left w:val="nil"/>
              <w:bottom w:val="nil"/>
              <w:right w:val="single" w:sz="4" w:space="0" w:color="auto"/>
            </w:tcBorders>
            <w:noWrap/>
            <w:vAlign w:val="center"/>
            <w:hideMark/>
          </w:tcPr>
          <w:p w14:paraId="7A43058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w:t>
            </w:r>
          </w:p>
        </w:tc>
        <w:tc>
          <w:tcPr>
            <w:tcW w:w="646" w:type="pct"/>
            <w:tcBorders>
              <w:top w:val="nil"/>
              <w:left w:val="nil"/>
              <w:bottom w:val="nil"/>
              <w:right w:val="nil"/>
            </w:tcBorders>
            <w:noWrap/>
            <w:vAlign w:val="center"/>
            <w:hideMark/>
          </w:tcPr>
          <w:p w14:paraId="7838802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374.706</w:t>
            </w:r>
          </w:p>
        </w:tc>
        <w:tc>
          <w:tcPr>
            <w:tcW w:w="661" w:type="pct"/>
            <w:tcBorders>
              <w:top w:val="nil"/>
              <w:left w:val="nil"/>
              <w:bottom w:val="nil"/>
              <w:right w:val="nil"/>
            </w:tcBorders>
            <w:noWrap/>
            <w:vAlign w:val="center"/>
            <w:hideMark/>
          </w:tcPr>
          <w:p w14:paraId="2A9976A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7,2</w:t>
            </w:r>
          </w:p>
        </w:tc>
        <w:tc>
          <w:tcPr>
            <w:tcW w:w="644" w:type="pct"/>
            <w:tcBorders>
              <w:top w:val="nil"/>
              <w:left w:val="nil"/>
              <w:bottom w:val="nil"/>
              <w:right w:val="single" w:sz="4" w:space="0" w:color="auto"/>
            </w:tcBorders>
            <w:noWrap/>
            <w:vAlign w:val="center"/>
            <w:hideMark/>
          </w:tcPr>
          <w:p w14:paraId="5C69520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w:t>
            </w:r>
          </w:p>
        </w:tc>
      </w:tr>
      <w:tr w:rsidR="005624D6" w:rsidRPr="007C1145" w14:paraId="46B70542"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65382943"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Trentino-Alto Adige</w:t>
            </w:r>
          </w:p>
        </w:tc>
        <w:tc>
          <w:tcPr>
            <w:tcW w:w="646" w:type="pct"/>
            <w:tcBorders>
              <w:top w:val="nil"/>
              <w:left w:val="single" w:sz="4" w:space="0" w:color="auto"/>
              <w:bottom w:val="nil"/>
              <w:right w:val="nil"/>
            </w:tcBorders>
            <w:noWrap/>
            <w:vAlign w:val="center"/>
            <w:hideMark/>
          </w:tcPr>
          <w:p w14:paraId="3693DE8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19.011</w:t>
            </w:r>
          </w:p>
        </w:tc>
        <w:tc>
          <w:tcPr>
            <w:tcW w:w="661" w:type="pct"/>
            <w:tcBorders>
              <w:top w:val="nil"/>
              <w:left w:val="nil"/>
              <w:bottom w:val="nil"/>
              <w:right w:val="nil"/>
            </w:tcBorders>
            <w:noWrap/>
            <w:vAlign w:val="center"/>
            <w:hideMark/>
          </w:tcPr>
          <w:p w14:paraId="61CCF68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6" w:type="pct"/>
            <w:tcBorders>
              <w:top w:val="nil"/>
              <w:left w:val="nil"/>
              <w:bottom w:val="nil"/>
              <w:right w:val="single" w:sz="4" w:space="0" w:color="auto"/>
            </w:tcBorders>
            <w:noWrap/>
            <w:vAlign w:val="center"/>
            <w:hideMark/>
          </w:tcPr>
          <w:p w14:paraId="0F1A5AD5"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6</w:t>
            </w:r>
          </w:p>
        </w:tc>
        <w:tc>
          <w:tcPr>
            <w:tcW w:w="646" w:type="pct"/>
            <w:tcBorders>
              <w:top w:val="nil"/>
              <w:left w:val="nil"/>
              <w:bottom w:val="nil"/>
              <w:right w:val="nil"/>
            </w:tcBorders>
            <w:noWrap/>
            <w:vAlign w:val="center"/>
            <w:hideMark/>
          </w:tcPr>
          <w:p w14:paraId="011B634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33.627</w:t>
            </w:r>
          </w:p>
        </w:tc>
        <w:tc>
          <w:tcPr>
            <w:tcW w:w="661" w:type="pct"/>
            <w:tcBorders>
              <w:top w:val="nil"/>
              <w:left w:val="nil"/>
              <w:bottom w:val="nil"/>
              <w:right w:val="nil"/>
            </w:tcBorders>
            <w:noWrap/>
            <w:vAlign w:val="center"/>
            <w:hideMark/>
          </w:tcPr>
          <w:p w14:paraId="12BCD36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5,6</w:t>
            </w:r>
          </w:p>
        </w:tc>
        <w:tc>
          <w:tcPr>
            <w:tcW w:w="644" w:type="pct"/>
            <w:tcBorders>
              <w:top w:val="nil"/>
              <w:left w:val="nil"/>
              <w:bottom w:val="nil"/>
              <w:right w:val="single" w:sz="4" w:space="0" w:color="auto"/>
            </w:tcBorders>
            <w:noWrap/>
            <w:vAlign w:val="center"/>
            <w:hideMark/>
          </w:tcPr>
          <w:p w14:paraId="710778E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8</w:t>
            </w:r>
          </w:p>
        </w:tc>
      </w:tr>
      <w:tr w:rsidR="005624D6" w:rsidRPr="007C1145" w14:paraId="32CB587B"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6519F7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Veneto</w:t>
            </w:r>
          </w:p>
        </w:tc>
        <w:tc>
          <w:tcPr>
            <w:tcW w:w="646" w:type="pct"/>
            <w:tcBorders>
              <w:top w:val="nil"/>
              <w:left w:val="single" w:sz="4" w:space="0" w:color="auto"/>
              <w:bottom w:val="nil"/>
              <w:right w:val="nil"/>
            </w:tcBorders>
            <w:noWrap/>
            <w:vAlign w:val="center"/>
            <w:hideMark/>
          </w:tcPr>
          <w:p w14:paraId="345EDCE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71.976</w:t>
            </w:r>
          </w:p>
        </w:tc>
        <w:tc>
          <w:tcPr>
            <w:tcW w:w="661" w:type="pct"/>
            <w:tcBorders>
              <w:top w:val="nil"/>
              <w:left w:val="nil"/>
              <w:bottom w:val="nil"/>
              <w:right w:val="nil"/>
            </w:tcBorders>
            <w:noWrap/>
            <w:vAlign w:val="center"/>
            <w:hideMark/>
          </w:tcPr>
          <w:p w14:paraId="364CCFB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w:t>
            </w:r>
          </w:p>
        </w:tc>
        <w:tc>
          <w:tcPr>
            <w:tcW w:w="646" w:type="pct"/>
            <w:tcBorders>
              <w:top w:val="nil"/>
              <w:left w:val="nil"/>
              <w:bottom w:val="nil"/>
              <w:right w:val="single" w:sz="4" w:space="0" w:color="auto"/>
            </w:tcBorders>
            <w:noWrap/>
            <w:vAlign w:val="center"/>
            <w:hideMark/>
          </w:tcPr>
          <w:p w14:paraId="3BC8DAB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7</w:t>
            </w:r>
          </w:p>
        </w:tc>
        <w:tc>
          <w:tcPr>
            <w:tcW w:w="646" w:type="pct"/>
            <w:tcBorders>
              <w:top w:val="nil"/>
              <w:left w:val="nil"/>
              <w:bottom w:val="nil"/>
              <w:right w:val="nil"/>
            </w:tcBorders>
            <w:noWrap/>
            <w:vAlign w:val="center"/>
            <w:hideMark/>
          </w:tcPr>
          <w:p w14:paraId="237AC23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141.773</w:t>
            </w:r>
          </w:p>
        </w:tc>
        <w:tc>
          <w:tcPr>
            <w:tcW w:w="661" w:type="pct"/>
            <w:tcBorders>
              <w:top w:val="nil"/>
              <w:left w:val="nil"/>
              <w:bottom w:val="nil"/>
              <w:right w:val="nil"/>
            </w:tcBorders>
            <w:noWrap/>
            <w:vAlign w:val="center"/>
            <w:hideMark/>
          </w:tcPr>
          <w:p w14:paraId="377AADB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6,0</w:t>
            </w:r>
          </w:p>
        </w:tc>
        <w:tc>
          <w:tcPr>
            <w:tcW w:w="644" w:type="pct"/>
            <w:tcBorders>
              <w:top w:val="nil"/>
              <w:left w:val="nil"/>
              <w:bottom w:val="nil"/>
              <w:right w:val="single" w:sz="4" w:space="0" w:color="auto"/>
            </w:tcBorders>
            <w:noWrap/>
            <w:vAlign w:val="center"/>
            <w:hideMark/>
          </w:tcPr>
          <w:p w14:paraId="78676CF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5</w:t>
            </w:r>
          </w:p>
        </w:tc>
      </w:tr>
      <w:tr w:rsidR="005624D6" w:rsidRPr="007C1145" w14:paraId="7EBBE5D3"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E0E352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Friuli-Venezia Giulia</w:t>
            </w:r>
          </w:p>
        </w:tc>
        <w:tc>
          <w:tcPr>
            <w:tcW w:w="646" w:type="pct"/>
            <w:tcBorders>
              <w:top w:val="nil"/>
              <w:left w:val="single" w:sz="4" w:space="0" w:color="auto"/>
              <w:bottom w:val="nil"/>
              <w:right w:val="nil"/>
            </w:tcBorders>
            <w:noWrap/>
            <w:vAlign w:val="center"/>
            <w:hideMark/>
          </w:tcPr>
          <w:p w14:paraId="42193A0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16.315</w:t>
            </w:r>
          </w:p>
        </w:tc>
        <w:tc>
          <w:tcPr>
            <w:tcW w:w="661" w:type="pct"/>
            <w:tcBorders>
              <w:top w:val="nil"/>
              <w:left w:val="nil"/>
              <w:bottom w:val="nil"/>
              <w:right w:val="nil"/>
            </w:tcBorders>
            <w:noWrap/>
            <w:vAlign w:val="center"/>
            <w:hideMark/>
          </w:tcPr>
          <w:p w14:paraId="5CD344B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2,9</w:t>
            </w:r>
          </w:p>
        </w:tc>
        <w:tc>
          <w:tcPr>
            <w:tcW w:w="646" w:type="pct"/>
            <w:tcBorders>
              <w:top w:val="nil"/>
              <w:left w:val="nil"/>
              <w:bottom w:val="nil"/>
              <w:right w:val="single" w:sz="4" w:space="0" w:color="auto"/>
            </w:tcBorders>
            <w:noWrap/>
            <w:vAlign w:val="center"/>
            <w:hideMark/>
          </w:tcPr>
          <w:p w14:paraId="2FFF8F66"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10</w:t>
            </w:r>
          </w:p>
        </w:tc>
        <w:tc>
          <w:tcPr>
            <w:tcW w:w="646" w:type="pct"/>
            <w:tcBorders>
              <w:top w:val="nil"/>
              <w:left w:val="nil"/>
              <w:bottom w:val="nil"/>
              <w:right w:val="nil"/>
            </w:tcBorders>
            <w:noWrap/>
            <w:vAlign w:val="center"/>
            <w:hideMark/>
          </w:tcPr>
          <w:p w14:paraId="7A2D060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32.397</w:t>
            </w:r>
          </w:p>
        </w:tc>
        <w:tc>
          <w:tcPr>
            <w:tcW w:w="661" w:type="pct"/>
            <w:tcBorders>
              <w:top w:val="nil"/>
              <w:left w:val="nil"/>
              <w:bottom w:val="nil"/>
              <w:right w:val="nil"/>
            </w:tcBorders>
            <w:noWrap/>
            <w:vAlign w:val="center"/>
            <w:hideMark/>
          </w:tcPr>
          <w:p w14:paraId="2C4C5F4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5,7</w:t>
            </w:r>
          </w:p>
        </w:tc>
        <w:tc>
          <w:tcPr>
            <w:tcW w:w="644" w:type="pct"/>
            <w:tcBorders>
              <w:top w:val="nil"/>
              <w:left w:val="nil"/>
              <w:bottom w:val="nil"/>
              <w:right w:val="single" w:sz="4" w:space="0" w:color="auto"/>
            </w:tcBorders>
            <w:noWrap/>
            <w:vAlign w:val="center"/>
            <w:hideMark/>
          </w:tcPr>
          <w:p w14:paraId="08F01E0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7</w:t>
            </w:r>
          </w:p>
        </w:tc>
      </w:tr>
      <w:tr w:rsidR="005624D6" w:rsidRPr="007C1145" w14:paraId="01CD8E2B"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096CCB36"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Liguria</w:t>
            </w:r>
          </w:p>
        </w:tc>
        <w:tc>
          <w:tcPr>
            <w:tcW w:w="646" w:type="pct"/>
            <w:tcBorders>
              <w:top w:val="nil"/>
              <w:left w:val="single" w:sz="4" w:space="0" w:color="auto"/>
              <w:bottom w:val="nil"/>
              <w:right w:val="nil"/>
            </w:tcBorders>
            <w:noWrap/>
            <w:vAlign w:val="center"/>
            <w:hideMark/>
          </w:tcPr>
          <w:p w14:paraId="2DBC9E5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18.558</w:t>
            </w:r>
          </w:p>
        </w:tc>
        <w:tc>
          <w:tcPr>
            <w:tcW w:w="661" w:type="pct"/>
            <w:tcBorders>
              <w:top w:val="nil"/>
              <w:left w:val="nil"/>
              <w:bottom w:val="nil"/>
              <w:right w:val="nil"/>
            </w:tcBorders>
            <w:noWrap/>
            <w:vAlign w:val="center"/>
            <w:hideMark/>
          </w:tcPr>
          <w:p w14:paraId="3812A97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2,6</w:t>
            </w:r>
          </w:p>
        </w:tc>
        <w:tc>
          <w:tcPr>
            <w:tcW w:w="646" w:type="pct"/>
            <w:tcBorders>
              <w:top w:val="nil"/>
              <w:left w:val="nil"/>
              <w:bottom w:val="nil"/>
              <w:right w:val="single" w:sz="4" w:space="0" w:color="auto"/>
            </w:tcBorders>
            <w:noWrap/>
            <w:vAlign w:val="center"/>
            <w:hideMark/>
          </w:tcPr>
          <w:p w14:paraId="3EFC603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11</w:t>
            </w:r>
          </w:p>
        </w:tc>
        <w:tc>
          <w:tcPr>
            <w:tcW w:w="646" w:type="pct"/>
            <w:tcBorders>
              <w:top w:val="nil"/>
              <w:left w:val="nil"/>
              <w:bottom w:val="nil"/>
              <w:right w:val="nil"/>
            </w:tcBorders>
            <w:noWrap/>
            <w:vAlign w:val="center"/>
            <w:hideMark/>
          </w:tcPr>
          <w:p w14:paraId="730344D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30.074</w:t>
            </w:r>
          </w:p>
        </w:tc>
        <w:tc>
          <w:tcPr>
            <w:tcW w:w="661" w:type="pct"/>
            <w:tcBorders>
              <w:top w:val="nil"/>
              <w:left w:val="nil"/>
              <w:bottom w:val="nil"/>
              <w:right w:val="nil"/>
            </w:tcBorders>
            <w:noWrap/>
            <w:vAlign w:val="center"/>
            <w:hideMark/>
          </w:tcPr>
          <w:p w14:paraId="5F73D9E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4" w:type="pct"/>
            <w:tcBorders>
              <w:top w:val="nil"/>
              <w:left w:val="nil"/>
              <w:bottom w:val="nil"/>
              <w:right w:val="single" w:sz="4" w:space="0" w:color="auto"/>
            </w:tcBorders>
            <w:noWrap/>
            <w:vAlign w:val="center"/>
            <w:hideMark/>
          </w:tcPr>
          <w:p w14:paraId="7A7BFE09"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12</w:t>
            </w:r>
          </w:p>
        </w:tc>
      </w:tr>
      <w:tr w:rsidR="005624D6" w:rsidRPr="007C1145" w14:paraId="7DCA087F"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5D3B481"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Emilia-Romagna</w:t>
            </w:r>
          </w:p>
        </w:tc>
        <w:tc>
          <w:tcPr>
            <w:tcW w:w="646" w:type="pct"/>
            <w:tcBorders>
              <w:top w:val="nil"/>
              <w:left w:val="single" w:sz="4" w:space="0" w:color="auto"/>
              <w:bottom w:val="nil"/>
              <w:right w:val="nil"/>
            </w:tcBorders>
            <w:noWrap/>
            <w:vAlign w:val="center"/>
            <w:hideMark/>
          </w:tcPr>
          <w:p w14:paraId="65C08B2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74.583</w:t>
            </w:r>
          </w:p>
        </w:tc>
        <w:tc>
          <w:tcPr>
            <w:tcW w:w="661" w:type="pct"/>
            <w:tcBorders>
              <w:top w:val="nil"/>
              <w:left w:val="nil"/>
              <w:bottom w:val="nil"/>
              <w:right w:val="nil"/>
            </w:tcBorders>
            <w:noWrap/>
            <w:vAlign w:val="center"/>
            <w:hideMark/>
          </w:tcPr>
          <w:p w14:paraId="26A6992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w:t>
            </w:r>
          </w:p>
        </w:tc>
        <w:tc>
          <w:tcPr>
            <w:tcW w:w="646" w:type="pct"/>
            <w:tcBorders>
              <w:top w:val="nil"/>
              <w:left w:val="nil"/>
              <w:bottom w:val="nil"/>
              <w:right w:val="single" w:sz="4" w:space="0" w:color="auto"/>
            </w:tcBorders>
            <w:noWrap/>
            <w:vAlign w:val="center"/>
            <w:hideMark/>
          </w:tcPr>
          <w:p w14:paraId="604D518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4</w:t>
            </w:r>
          </w:p>
        </w:tc>
        <w:tc>
          <w:tcPr>
            <w:tcW w:w="646" w:type="pct"/>
            <w:tcBorders>
              <w:top w:val="nil"/>
              <w:left w:val="nil"/>
              <w:bottom w:val="nil"/>
              <w:right w:val="nil"/>
            </w:tcBorders>
            <w:noWrap/>
            <w:vAlign w:val="center"/>
            <w:hideMark/>
          </w:tcPr>
          <w:p w14:paraId="113E111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132.949</w:t>
            </w:r>
          </w:p>
        </w:tc>
        <w:tc>
          <w:tcPr>
            <w:tcW w:w="661" w:type="pct"/>
            <w:tcBorders>
              <w:top w:val="nil"/>
              <w:left w:val="nil"/>
              <w:bottom w:val="nil"/>
              <w:right w:val="nil"/>
            </w:tcBorders>
            <w:noWrap/>
            <w:vAlign w:val="center"/>
            <w:hideMark/>
          </w:tcPr>
          <w:p w14:paraId="1521B5A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5,9</w:t>
            </w:r>
          </w:p>
        </w:tc>
        <w:tc>
          <w:tcPr>
            <w:tcW w:w="644" w:type="pct"/>
            <w:tcBorders>
              <w:top w:val="nil"/>
              <w:left w:val="nil"/>
              <w:bottom w:val="nil"/>
              <w:right w:val="single" w:sz="4" w:space="0" w:color="auto"/>
            </w:tcBorders>
            <w:noWrap/>
            <w:vAlign w:val="center"/>
            <w:hideMark/>
          </w:tcPr>
          <w:p w14:paraId="4941D66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6</w:t>
            </w:r>
          </w:p>
        </w:tc>
      </w:tr>
      <w:tr w:rsidR="005624D6" w:rsidRPr="007C1145" w14:paraId="412984A0"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AB4F85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Toscana</w:t>
            </w:r>
          </w:p>
        </w:tc>
        <w:tc>
          <w:tcPr>
            <w:tcW w:w="646" w:type="pct"/>
            <w:tcBorders>
              <w:top w:val="nil"/>
              <w:left w:val="single" w:sz="4" w:space="0" w:color="auto"/>
              <w:bottom w:val="nil"/>
              <w:right w:val="nil"/>
            </w:tcBorders>
            <w:noWrap/>
            <w:vAlign w:val="center"/>
            <w:hideMark/>
          </w:tcPr>
          <w:p w14:paraId="1BA89D98"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57.431</w:t>
            </w:r>
          </w:p>
        </w:tc>
        <w:tc>
          <w:tcPr>
            <w:tcW w:w="661" w:type="pct"/>
            <w:tcBorders>
              <w:top w:val="nil"/>
              <w:left w:val="nil"/>
              <w:bottom w:val="nil"/>
              <w:right w:val="nil"/>
            </w:tcBorders>
            <w:noWrap/>
            <w:vAlign w:val="center"/>
            <w:hideMark/>
          </w:tcPr>
          <w:p w14:paraId="2EB27E3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6" w:type="pct"/>
            <w:tcBorders>
              <w:top w:val="nil"/>
              <w:left w:val="nil"/>
              <w:bottom w:val="nil"/>
              <w:right w:val="single" w:sz="4" w:space="0" w:color="auto"/>
            </w:tcBorders>
            <w:noWrap/>
            <w:vAlign w:val="center"/>
            <w:hideMark/>
          </w:tcPr>
          <w:p w14:paraId="10A13EC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5</w:t>
            </w:r>
          </w:p>
        </w:tc>
        <w:tc>
          <w:tcPr>
            <w:tcW w:w="646" w:type="pct"/>
            <w:tcBorders>
              <w:top w:val="nil"/>
              <w:left w:val="nil"/>
              <w:bottom w:val="nil"/>
              <w:right w:val="nil"/>
            </w:tcBorders>
            <w:noWrap/>
            <w:vAlign w:val="center"/>
            <w:hideMark/>
          </w:tcPr>
          <w:p w14:paraId="14F22B9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109.641</w:t>
            </w:r>
          </w:p>
        </w:tc>
        <w:tc>
          <w:tcPr>
            <w:tcW w:w="661" w:type="pct"/>
            <w:tcBorders>
              <w:top w:val="nil"/>
              <w:left w:val="nil"/>
              <w:bottom w:val="nil"/>
              <w:right w:val="nil"/>
            </w:tcBorders>
            <w:noWrap/>
            <w:vAlign w:val="center"/>
            <w:hideMark/>
          </w:tcPr>
          <w:p w14:paraId="297FFF4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6,1</w:t>
            </w:r>
          </w:p>
        </w:tc>
        <w:tc>
          <w:tcPr>
            <w:tcW w:w="644" w:type="pct"/>
            <w:tcBorders>
              <w:top w:val="nil"/>
              <w:left w:val="nil"/>
              <w:bottom w:val="nil"/>
              <w:right w:val="single" w:sz="4" w:space="0" w:color="auto"/>
            </w:tcBorders>
            <w:noWrap/>
            <w:vAlign w:val="center"/>
            <w:hideMark/>
          </w:tcPr>
          <w:p w14:paraId="2E710715"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4</w:t>
            </w:r>
          </w:p>
        </w:tc>
      </w:tr>
      <w:tr w:rsidR="005624D6" w:rsidRPr="007C1145" w14:paraId="7DD05891"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0D1B95A"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Umbria</w:t>
            </w:r>
          </w:p>
        </w:tc>
        <w:tc>
          <w:tcPr>
            <w:tcW w:w="646" w:type="pct"/>
            <w:tcBorders>
              <w:top w:val="nil"/>
              <w:left w:val="single" w:sz="4" w:space="0" w:color="auto"/>
              <w:bottom w:val="nil"/>
              <w:right w:val="nil"/>
            </w:tcBorders>
            <w:noWrap/>
            <w:vAlign w:val="center"/>
            <w:hideMark/>
          </w:tcPr>
          <w:p w14:paraId="38C0999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11.579</w:t>
            </w:r>
          </w:p>
        </w:tc>
        <w:tc>
          <w:tcPr>
            <w:tcW w:w="661" w:type="pct"/>
            <w:tcBorders>
              <w:top w:val="nil"/>
              <w:left w:val="nil"/>
              <w:bottom w:val="nil"/>
              <w:right w:val="nil"/>
            </w:tcBorders>
            <w:noWrap/>
            <w:vAlign w:val="center"/>
            <w:hideMark/>
          </w:tcPr>
          <w:p w14:paraId="4FD2403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2,9</w:t>
            </w:r>
          </w:p>
        </w:tc>
        <w:tc>
          <w:tcPr>
            <w:tcW w:w="646" w:type="pct"/>
            <w:tcBorders>
              <w:top w:val="nil"/>
              <w:left w:val="nil"/>
              <w:bottom w:val="nil"/>
              <w:right w:val="single" w:sz="4" w:space="0" w:color="auto"/>
            </w:tcBorders>
            <w:noWrap/>
            <w:vAlign w:val="center"/>
            <w:hideMark/>
          </w:tcPr>
          <w:p w14:paraId="4FF5E3C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9</w:t>
            </w:r>
          </w:p>
        </w:tc>
        <w:tc>
          <w:tcPr>
            <w:tcW w:w="646" w:type="pct"/>
            <w:tcBorders>
              <w:top w:val="nil"/>
              <w:left w:val="nil"/>
              <w:bottom w:val="nil"/>
              <w:right w:val="nil"/>
            </w:tcBorders>
            <w:noWrap/>
            <w:vAlign w:val="center"/>
            <w:hideMark/>
          </w:tcPr>
          <w:p w14:paraId="272F4D4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19.081</w:t>
            </w:r>
          </w:p>
        </w:tc>
        <w:tc>
          <w:tcPr>
            <w:tcW w:w="661" w:type="pct"/>
            <w:tcBorders>
              <w:top w:val="nil"/>
              <w:left w:val="nil"/>
              <w:bottom w:val="nil"/>
              <w:right w:val="nil"/>
            </w:tcBorders>
            <w:noWrap/>
            <w:vAlign w:val="center"/>
            <w:hideMark/>
          </w:tcPr>
          <w:p w14:paraId="5CB4D2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4,8</w:t>
            </w:r>
          </w:p>
        </w:tc>
        <w:tc>
          <w:tcPr>
            <w:tcW w:w="644" w:type="pct"/>
            <w:tcBorders>
              <w:top w:val="nil"/>
              <w:left w:val="nil"/>
              <w:bottom w:val="nil"/>
              <w:right w:val="single" w:sz="4" w:space="0" w:color="auto"/>
            </w:tcBorders>
            <w:noWrap/>
            <w:vAlign w:val="center"/>
            <w:hideMark/>
          </w:tcPr>
          <w:p w14:paraId="1FEDB89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10</w:t>
            </w:r>
          </w:p>
        </w:tc>
      </w:tr>
      <w:tr w:rsidR="005624D6" w:rsidRPr="007C1145" w14:paraId="6072DDCE"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CE2A458"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Marche</w:t>
            </w:r>
          </w:p>
        </w:tc>
        <w:tc>
          <w:tcPr>
            <w:tcW w:w="646" w:type="pct"/>
            <w:tcBorders>
              <w:top w:val="nil"/>
              <w:left w:val="single" w:sz="4" w:space="0" w:color="auto"/>
              <w:bottom w:val="nil"/>
              <w:right w:val="nil"/>
            </w:tcBorders>
            <w:noWrap/>
            <w:vAlign w:val="center"/>
            <w:hideMark/>
          </w:tcPr>
          <w:p w14:paraId="5DC78C9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20.988</w:t>
            </w:r>
          </w:p>
        </w:tc>
        <w:tc>
          <w:tcPr>
            <w:tcW w:w="661" w:type="pct"/>
            <w:tcBorders>
              <w:top w:val="nil"/>
              <w:left w:val="nil"/>
              <w:bottom w:val="nil"/>
              <w:right w:val="nil"/>
            </w:tcBorders>
            <w:noWrap/>
            <w:vAlign w:val="center"/>
            <w:hideMark/>
          </w:tcPr>
          <w:p w14:paraId="4B68BD9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3,0</w:t>
            </w:r>
          </w:p>
        </w:tc>
        <w:tc>
          <w:tcPr>
            <w:tcW w:w="646" w:type="pct"/>
            <w:tcBorders>
              <w:top w:val="nil"/>
              <w:left w:val="nil"/>
              <w:bottom w:val="nil"/>
              <w:right w:val="single" w:sz="4" w:space="0" w:color="auto"/>
            </w:tcBorders>
            <w:noWrap/>
            <w:vAlign w:val="center"/>
            <w:hideMark/>
          </w:tcPr>
          <w:p w14:paraId="0C3F248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8</w:t>
            </w:r>
          </w:p>
        </w:tc>
        <w:tc>
          <w:tcPr>
            <w:tcW w:w="646" w:type="pct"/>
            <w:tcBorders>
              <w:top w:val="nil"/>
              <w:left w:val="nil"/>
              <w:bottom w:val="nil"/>
              <w:right w:val="nil"/>
            </w:tcBorders>
            <w:noWrap/>
            <w:vAlign w:val="center"/>
            <w:hideMark/>
          </w:tcPr>
          <w:p w14:paraId="6D69FA0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37.564</w:t>
            </w:r>
          </w:p>
        </w:tc>
        <w:tc>
          <w:tcPr>
            <w:tcW w:w="661" w:type="pct"/>
            <w:tcBorders>
              <w:top w:val="nil"/>
              <w:left w:val="nil"/>
              <w:bottom w:val="nil"/>
              <w:right w:val="nil"/>
            </w:tcBorders>
            <w:noWrap/>
            <w:vAlign w:val="center"/>
            <w:hideMark/>
          </w:tcPr>
          <w:p w14:paraId="15A8EED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5,4</w:t>
            </w:r>
          </w:p>
        </w:tc>
        <w:tc>
          <w:tcPr>
            <w:tcW w:w="644" w:type="pct"/>
            <w:tcBorders>
              <w:top w:val="nil"/>
              <w:left w:val="nil"/>
              <w:bottom w:val="nil"/>
              <w:right w:val="single" w:sz="4" w:space="0" w:color="auto"/>
            </w:tcBorders>
            <w:noWrap/>
            <w:vAlign w:val="center"/>
            <w:hideMark/>
          </w:tcPr>
          <w:p w14:paraId="0CDEF53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9</w:t>
            </w:r>
          </w:p>
        </w:tc>
      </w:tr>
      <w:tr w:rsidR="005624D6" w:rsidRPr="007C1145" w14:paraId="1BC37AFD"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1B40DF7"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Lazio</w:t>
            </w:r>
          </w:p>
        </w:tc>
        <w:tc>
          <w:tcPr>
            <w:tcW w:w="646" w:type="pct"/>
            <w:tcBorders>
              <w:top w:val="nil"/>
              <w:left w:val="single" w:sz="4" w:space="0" w:color="auto"/>
              <w:bottom w:val="nil"/>
              <w:right w:val="nil"/>
            </w:tcBorders>
            <w:noWrap/>
            <w:vAlign w:val="center"/>
            <w:hideMark/>
          </w:tcPr>
          <w:p w14:paraId="6388864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140.861</w:t>
            </w:r>
          </w:p>
        </w:tc>
        <w:tc>
          <w:tcPr>
            <w:tcW w:w="661" w:type="pct"/>
            <w:tcBorders>
              <w:top w:val="nil"/>
              <w:left w:val="nil"/>
              <w:bottom w:val="nil"/>
              <w:right w:val="nil"/>
            </w:tcBorders>
            <w:noWrap/>
            <w:vAlign w:val="center"/>
            <w:hideMark/>
          </w:tcPr>
          <w:p w14:paraId="07956CC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5,0</w:t>
            </w:r>
          </w:p>
        </w:tc>
        <w:tc>
          <w:tcPr>
            <w:tcW w:w="646" w:type="pct"/>
            <w:tcBorders>
              <w:top w:val="nil"/>
              <w:left w:val="nil"/>
              <w:bottom w:val="nil"/>
              <w:right w:val="single" w:sz="4" w:space="0" w:color="auto"/>
            </w:tcBorders>
            <w:noWrap/>
            <w:vAlign w:val="center"/>
            <w:hideMark/>
          </w:tcPr>
          <w:p w14:paraId="0A7ACD3D"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w:t>
            </w:r>
          </w:p>
        </w:tc>
        <w:tc>
          <w:tcPr>
            <w:tcW w:w="646" w:type="pct"/>
            <w:tcBorders>
              <w:top w:val="nil"/>
              <w:left w:val="nil"/>
              <w:bottom w:val="nil"/>
              <w:right w:val="nil"/>
            </w:tcBorders>
            <w:noWrap/>
            <w:vAlign w:val="center"/>
            <w:hideMark/>
          </w:tcPr>
          <w:p w14:paraId="2420407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215.585</w:t>
            </w:r>
          </w:p>
        </w:tc>
        <w:tc>
          <w:tcPr>
            <w:tcW w:w="661" w:type="pct"/>
            <w:tcBorders>
              <w:top w:val="nil"/>
              <w:left w:val="nil"/>
              <w:bottom w:val="nil"/>
              <w:right w:val="nil"/>
            </w:tcBorders>
            <w:noWrap/>
            <w:vAlign w:val="center"/>
            <w:hideMark/>
          </w:tcPr>
          <w:p w14:paraId="04556AD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7,6</w:t>
            </w:r>
          </w:p>
        </w:tc>
        <w:tc>
          <w:tcPr>
            <w:tcW w:w="644" w:type="pct"/>
            <w:tcBorders>
              <w:top w:val="nil"/>
              <w:left w:val="nil"/>
              <w:bottom w:val="nil"/>
              <w:right w:val="single" w:sz="4" w:space="0" w:color="auto"/>
            </w:tcBorders>
            <w:noWrap/>
            <w:vAlign w:val="center"/>
            <w:hideMark/>
          </w:tcPr>
          <w:p w14:paraId="5BEFDB7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w:t>
            </w:r>
          </w:p>
        </w:tc>
      </w:tr>
      <w:tr w:rsidR="005624D6" w:rsidRPr="007C1145" w14:paraId="417BC774"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552011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Abruzzo</w:t>
            </w:r>
          </w:p>
        </w:tc>
        <w:tc>
          <w:tcPr>
            <w:tcW w:w="646" w:type="pct"/>
            <w:tcBorders>
              <w:top w:val="nil"/>
              <w:left w:val="single" w:sz="4" w:space="0" w:color="auto"/>
              <w:bottom w:val="nil"/>
              <w:right w:val="nil"/>
            </w:tcBorders>
            <w:noWrap/>
            <w:vAlign w:val="center"/>
            <w:hideMark/>
          </w:tcPr>
          <w:p w14:paraId="25FFDC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12.325</w:t>
            </w:r>
          </w:p>
        </w:tc>
        <w:tc>
          <w:tcPr>
            <w:tcW w:w="661" w:type="pct"/>
            <w:tcBorders>
              <w:top w:val="nil"/>
              <w:left w:val="nil"/>
              <w:bottom w:val="nil"/>
              <w:right w:val="nil"/>
            </w:tcBorders>
            <w:noWrap/>
            <w:vAlign w:val="center"/>
            <w:hideMark/>
          </w:tcPr>
          <w:p w14:paraId="63AC36C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60BF3063"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16</w:t>
            </w:r>
          </w:p>
        </w:tc>
        <w:tc>
          <w:tcPr>
            <w:tcW w:w="646" w:type="pct"/>
            <w:tcBorders>
              <w:top w:val="nil"/>
              <w:left w:val="nil"/>
              <w:bottom w:val="nil"/>
              <w:right w:val="nil"/>
            </w:tcBorders>
            <w:noWrap/>
            <w:vAlign w:val="center"/>
            <w:hideMark/>
          </w:tcPr>
          <w:p w14:paraId="21B01E9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22.954</w:t>
            </w:r>
          </w:p>
        </w:tc>
        <w:tc>
          <w:tcPr>
            <w:tcW w:w="661" w:type="pct"/>
            <w:tcBorders>
              <w:top w:val="nil"/>
              <w:left w:val="nil"/>
              <w:bottom w:val="nil"/>
              <w:right w:val="nil"/>
            </w:tcBorders>
            <w:noWrap/>
            <w:vAlign w:val="center"/>
            <w:hideMark/>
          </w:tcPr>
          <w:p w14:paraId="7C92F59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4,2</w:t>
            </w:r>
          </w:p>
        </w:tc>
        <w:tc>
          <w:tcPr>
            <w:tcW w:w="644" w:type="pct"/>
            <w:tcBorders>
              <w:top w:val="nil"/>
              <w:left w:val="nil"/>
              <w:bottom w:val="nil"/>
              <w:right w:val="single" w:sz="4" w:space="0" w:color="auto"/>
            </w:tcBorders>
            <w:noWrap/>
            <w:vAlign w:val="center"/>
            <w:hideMark/>
          </w:tcPr>
          <w:p w14:paraId="2CE3FD5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13</w:t>
            </w:r>
          </w:p>
        </w:tc>
      </w:tr>
      <w:tr w:rsidR="005624D6" w:rsidRPr="007C1145" w14:paraId="6A1186B7"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49F91D8"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Molise</w:t>
            </w:r>
          </w:p>
        </w:tc>
        <w:tc>
          <w:tcPr>
            <w:tcW w:w="646" w:type="pct"/>
            <w:tcBorders>
              <w:top w:val="nil"/>
              <w:left w:val="single" w:sz="4" w:space="0" w:color="auto"/>
              <w:bottom w:val="nil"/>
              <w:right w:val="nil"/>
            </w:tcBorders>
            <w:noWrap/>
            <w:vAlign w:val="center"/>
            <w:hideMark/>
          </w:tcPr>
          <w:p w14:paraId="38AAEA1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2.580</w:t>
            </w:r>
          </w:p>
        </w:tc>
        <w:tc>
          <w:tcPr>
            <w:tcW w:w="661" w:type="pct"/>
            <w:tcBorders>
              <w:top w:val="nil"/>
              <w:left w:val="nil"/>
              <w:bottom w:val="nil"/>
              <w:right w:val="nil"/>
            </w:tcBorders>
            <w:noWrap/>
            <w:vAlign w:val="center"/>
            <w:hideMark/>
          </w:tcPr>
          <w:p w14:paraId="0FE3D11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w:t>
            </w:r>
          </w:p>
        </w:tc>
        <w:tc>
          <w:tcPr>
            <w:tcW w:w="646" w:type="pct"/>
            <w:tcBorders>
              <w:top w:val="nil"/>
              <w:left w:val="nil"/>
              <w:bottom w:val="nil"/>
              <w:right w:val="single" w:sz="4" w:space="0" w:color="auto"/>
            </w:tcBorders>
            <w:noWrap/>
            <w:vAlign w:val="center"/>
            <w:hideMark/>
          </w:tcPr>
          <w:p w14:paraId="31D963E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13</w:t>
            </w:r>
          </w:p>
        </w:tc>
        <w:tc>
          <w:tcPr>
            <w:tcW w:w="646" w:type="pct"/>
            <w:tcBorders>
              <w:top w:val="nil"/>
              <w:left w:val="nil"/>
              <w:bottom w:val="nil"/>
              <w:right w:val="nil"/>
            </w:tcBorders>
            <w:noWrap/>
            <w:vAlign w:val="center"/>
            <w:hideMark/>
          </w:tcPr>
          <w:p w14:paraId="7BDA7B1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3.959</w:t>
            </w:r>
          </w:p>
        </w:tc>
        <w:tc>
          <w:tcPr>
            <w:tcW w:w="661" w:type="pct"/>
            <w:tcBorders>
              <w:top w:val="nil"/>
              <w:left w:val="nil"/>
              <w:bottom w:val="nil"/>
              <w:right w:val="nil"/>
            </w:tcBorders>
            <w:noWrap/>
            <w:vAlign w:val="center"/>
            <w:hideMark/>
          </w:tcPr>
          <w:p w14:paraId="07B224D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3,6</w:t>
            </w:r>
          </w:p>
        </w:tc>
        <w:tc>
          <w:tcPr>
            <w:tcW w:w="644" w:type="pct"/>
            <w:tcBorders>
              <w:top w:val="nil"/>
              <w:left w:val="nil"/>
              <w:bottom w:val="nil"/>
              <w:right w:val="single" w:sz="4" w:space="0" w:color="auto"/>
            </w:tcBorders>
            <w:noWrap/>
            <w:vAlign w:val="center"/>
            <w:hideMark/>
          </w:tcPr>
          <w:p w14:paraId="583AFD3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18</w:t>
            </w:r>
          </w:p>
        </w:tc>
      </w:tr>
      <w:tr w:rsidR="005624D6" w:rsidRPr="007C1145" w14:paraId="42E79137"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3D6A02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Campania</w:t>
            </w:r>
          </w:p>
        </w:tc>
        <w:tc>
          <w:tcPr>
            <w:tcW w:w="646" w:type="pct"/>
            <w:tcBorders>
              <w:top w:val="nil"/>
              <w:left w:val="single" w:sz="4" w:space="0" w:color="auto"/>
              <w:bottom w:val="nil"/>
              <w:right w:val="nil"/>
            </w:tcBorders>
            <w:noWrap/>
            <w:vAlign w:val="center"/>
            <w:hideMark/>
          </w:tcPr>
          <w:p w14:paraId="26FC666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51.756</w:t>
            </w:r>
          </w:p>
        </w:tc>
        <w:tc>
          <w:tcPr>
            <w:tcW w:w="661" w:type="pct"/>
            <w:tcBorders>
              <w:top w:val="nil"/>
              <w:left w:val="nil"/>
              <w:bottom w:val="nil"/>
              <w:right w:val="nil"/>
            </w:tcBorders>
            <w:noWrap/>
            <w:vAlign w:val="center"/>
            <w:hideMark/>
          </w:tcPr>
          <w:p w14:paraId="3BF02A0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2,5</w:t>
            </w:r>
          </w:p>
        </w:tc>
        <w:tc>
          <w:tcPr>
            <w:tcW w:w="646" w:type="pct"/>
            <w:tcBorders>
              <w:top w:val="nil"/>
              <w:left w:val="nil"/>
              <w:bottom w:val="nil"/>
              <w:right w:val="single" w:sz="4" w:space="0" w:color="auto"/>
            </w:tcBorders>
            <w:noWrap/>
            <w:vAlign w:val="center"/>
            <w:hideMark/>
          </w:tcPr>
          <w:p w14:paraId="0789D88B"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12</w:t>
            </w:r>
          </w:p>
        </w:tc>
        <w:tc>
          <w:tcPr>
            <w:tcW w:w="646" w:type="pct"/>
            <w:tcBorders>
              <w:top w:val="nil"/>
              <w:left w:val="nil"/>
              <w:bottom w:val="nil"/>
              <w:right w:val="nil"/>
            </w:tcBorders>
            <w:noWrap/>
            <w:vAlign w:val="center"/>
            <w:hideMark/>
          </w:tcPr>
          <w:p w14:paraId="4E44F93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87.439</w:t>
            </w:r>
          </w:p>
        </w:tc>
        <w:tc>
          <w:tcPr>
            <w:tcW w:w="661" w:type="pct"/>
            <w:tcBorders>
              <w:top w:val="nil"/>
              <w:left w:val="nil"/>
              <w:bottom w:val="nil"/>
              <w:right w:val="nil"/>
            </w:tcBorders>
            <w:noWrap/>
            <w:vAlign w:val="center"/>
            <w:hideMark/>
          </w:tcPr>
          <w:p w14:paraId="471A10C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4" w:type="pct"/>
            <w:tcBorders>
              <w:top w:val="nil"/>
              <w:left w:val="nil"/>
              <w:bottom w:val="nil"/>
              <w:right w:val="single" w:sz="4" w:space="0" w:color="auto"/>
            </w:tcBorders>
            <w:noWrap/>
            <w:vAlign w:val="center"/>
            <w:hideMark/>
          </w:tcPr>
          <w:p w14:paraId="4E022238"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11</w:t>
            </w:r>
          </w:p>
        </w:tc>
      </w:tr>
      <w:tr w:rsidR="005624D6" w:rsidRPr="007C1145" w14:paraId="29B0A6C9"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48BAC0C6"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Puglia</w:t>
            </w:r>
          </w:p>
        </w:tc>
        <w:tc>
          <w:tcPr>
            <w:tcW w:w="646" w:type="pct"/>
            <w:tcBorders>
              <w:top w:val="nil"/>
              <w:left w:val="single" w:sz="4" w:space="0" w:color="auto"/>
              <w:bottom w:val="nil"/>
              <w:right w:val="nil"/>
            </w:tcBorders>
            <w:noWrap/>
            <w:vAlign w:val="center"/>
            <w:hideMark/>
          </w:tcPr>
          <w:p w14:paraId="3F8244F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32.272</w:t>
            </w:r>
          </w:p>
        </w:tc>
        <w:tc>
          <w:tcPr>
            <w:tcW w:w="661" w:type="pct"/>
            <w:tcBorders>
              <w:top w:val="nil"/>
              <w:left w:val="nil"/>
              <w:bottom w:val="nil"/>
              <w:right w:val="nil"/>
            </w:tcBorders>
            <w:noWrap/>
            <w:vAlign w:val="center"/>
            <w:hideMark/>
          </w:tcPr>
          <w:p w14:paraId="039BC9A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0A9438C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17</w:t>
            </w:r>
          </w:p>
        </w:tc>
        <w:tc>
          <w:tcPr>
            <w:tcW w:w="646" w:type="pct"/>
            <w:tcBorders>
              <w:top w:val="nil"/>
              <w:left w:val="nil"/>
              <w:bottom w:val="nil"/>
              <w:right w:val="nil"/>
            </w:tcBorders>
            <w:noWrap/>
            <w:vAlign w:val="center"/>
            <w:hideMark/>
          </w:tcPr>
          <w:p w14:paraId="73520E3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53.444</w:t>
            </w:r>
          </w:p>
        </w:tc>
        <w:tc>
          <w:tcPr>
            <w:tcW w:w="661" w:type="pct"/>
            <w:tcBorders>
              <w:top w:val="nil"/>
              <w:left w:val="nil"/>
              <w:bottom w:val="nil"/>
              <w:right w:val="nil"/>
            </w:tcBorders>
            <w:noWrap/>
            <w:vAlign w:val="center"/>
            <w:hideMark/>
          </w:tcPr>
          <w:p w14:paraId="2DF8467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3,6</w:t>
            </w:r>
          </w:p>
        </w:tc>
        <w:tc>
          <w:tcPr>
            <w:tcW w:w="644" w:type="pct"/>
            <w:tcBorders>
              <w:top w:val="nil"/>
              <w:left w:val="nil"/>
              <w:bottom w:val="nil"/>
              <w:right w:val="single" w:sz="4" w:space="0" w:color="auto"/>
            </w:tcBorders>
            <w:noWrap/>
            <w:vAlign w:val="center"/>
            <w:hideMark/>
          </w:tcPr>
          <w:p w14:paraId="28B4586A"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17</w:t>
            </w:r>
          </w:p>
        </w:tc>
      </w:tr>
      <w:tr w:rsidR="005624D6" w:rsidRPr="007C1145" w14:paraId="7E99CEFD"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78FB436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Basilicata</w:t>
            </w:r>
          </w:p>
        </w:tc>
        <w:tc>
          <w:tcPr>
            <w:tcW w:w="646" w:type="pct"/>
            <w:tcBorders>
              <w:top w:val="nil"/>
              <w:left w:val="single" w:sz="4" w:space="0" w:color="auto"/>
              <w:bottom w:val="nil"/>
              <w:right w:val="nil"/>
            </w:tcBorders>
            <w:noWrap/>
            <w:vAlign w:val="center"/>
            <w:hideMark/>
          </w:tcPr>
          <w:p w14:paraId="5A55FD8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4.320</w:t>
            </w:r>
          </w:p>
        </w:tc>
        <w:tc>
          <w:tcPr>
            <w:tcW w:w="661" w:type="pct"/>
            <w:tcBorders>
              <w:top w:val="nil"/>
              <w:left w:val="nil"/>
              <w:bottom w:val="nil"/>
              <w:right w:val="nil"/>
            </w:tcBorders>
            <w:noWrap/>
            <w:vAlign w:val="center"/>
            <w:hideMark/>
          </w:tcPr>
          <w:p w14:paraId="2FEC94A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w:t>
            </w:r>
          </w:p>
        </w:tc>
        <w:tc>
          <w:tcPr>
            <w:tcW w:w="646" w:type="pct"/>
            <w:tcBorders>
              <w:top w:val="nil"/>
              <w:left w:val="nil"/>
              <w:bottom w:val="nil"/>
              <w:right w:val="single" w:sz="4" w:space="0" w:color="auto"/>
            </w:tcBorders>
            <w:noWrap/>
            <w:vAlign w:val="center"/>
            <w:hideMark/>
          </w:tcPr>
          <w:p w14:paraId="220F149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18</w:t>
            </w:r>
          </w:p>
        </w:tc>
        <w:tc>
          <w:tcPr>
            <w:tcW w:w="646" w:type="pct"/>
            <w:tcBorders>
              <w:top w:val="nil"/>
              <w:left w:val="nil"/>
              <w:bottom w:val="nil"/>
              <w:right w:val="nil"/>
            </w:tcBorders>
            <w:noWrap/>
            <w:vAlign w:val="center"/>
            <w:hideMark/>
          </w:tcPr>
          <w:p w14:paraId="3794F95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7.928</w:t>
            </w:r>
          </w:p>
        </w:tc>
        <w:tc>
          <w:tcPr>
            <w:tcW w:w="661" w:type="pct"/>
            <w:tcBorders>
              <w:top w:val="nil"/>
              <w:left w:val="nil"/>
              <w:bottom w:val="nil"/>
              <w:right w:val="nil"/>
            </w:tcBorders>
            <w:noWrap/>
            <w:vAlign w:val="center"/>
            <w:hideMark/>
          </w:tcPr>
          <w:p w14:paraId="692E18F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w:t>
            </w:r>
          </w:p>
        </w:tc>
        <w:tc>
          <w:tcPr>
            <w:tcW w:w="644" w:type="pct"/>
            <w:tcBorders>
              <w:top w:val="nil"/>
              <w:left w:val="nil"/>
              <w:bottom w:val="nil"/>
              <w:right w:val="single" w:sz="4" w:space="0" w:color="auto"/>
            </w:tcBorders>
            <w:noWrap/>
            <w:vAlign w:val="center"/>
            <w:hideMark/>
          </w:tcPr>
          <w:p w14:paraId="28812CA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16</w:t>
            </w:r>
          </w:p>
        </w:tc>
      </w:tr>
      <w:tr w:rsidR="005624D6" w:rsidRPr="007C1145" w14:paraId="10E14E75"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6DA6AA15"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Calabria</w:t>
            </w:r>
          </w:p>
        </w:tc>
        <w:tc>
          <w:tcPr>
            <w:tcW w:w="646" w:type="pct"/>
            <w:tcBorders>
              <w:top w:val="nil"/>
              <w:left w:val="single" w:sz="4" w:space="0" w:color="auto"/>
              <w:bottom w:val="nil"/>
              <w:right w:val="nil"/>
            </w:tcBorders>
            <w:noWrap/>
            <w:vAlign w:val="center"/>
            <w:hideMark/>
          </w:tcPr>
          <w:p w14:paraId="2DD7D04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10.803</w:t>
            </w:r>
          </w:p>
        </w:tc>
        <w:tc>
          <w:tcPr>
            <w:tcW w:w="661" w:type="pct"/>
            <w:tcBorders>
              <w:top w:val="nil"/>
              <w:left w:val="nil"/>
              <w:bottom w:val="nil"/>
              <w:right w:val="nil"/>
            </w:tcBorders>
            <w:noWrap/>
            <w:vAlign w:val="center"/>
            <w:hideMark/>
          </w:tcPr>
          <w:p w14:paraId="4B5F10B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1,7</w:t>
            </w:r>
          </w:p>
        </w:tc>
        <w:tc>
          <w:tcPr>
            <w:tcW w:w="646" w:type="pct"/>
            <w:tcBorders>
              <w:top w:val="nil"/>
              <w:left w:val="nil"/>
              <w:bottom w:val="nil"/>
              <w:right w:val="single" w:sz="4" w:space="0" w:color="auto"/>
            </w:tcBorders>
            <w:noWrap/>
            <w:vAlign w:val="center"/>
            <w:hideMark/>
          </w:tcPr>
          <w:p w14:paraId="1911D25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20</w:t>
            </w:r>
          </w:p>
        </w:tc>
        <w:tc>
          <w:tcPr>
            <w:tcW w:w="646" w:type="pct"/>
            <w:tcBorders>
              <w:top w:val="nil"/>
              <w:left w:val="nil"/>
              <w:bottom w:val="nil"/>
              <w:right w:val="nil"/>
            </w:tcBorders>
            <w:noWrap/>
            <w:vAlign w:val="center"/>
            <w:hideMark/>
          </w:tcPr>
          <w:p w14:paraId="5BBE34F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19.466</w:t>
            </w:r>
          </w:p>
        </w:tc>
        <w:tc>
          <w:tcPr>
            <w:tcW w:w="661" w:type="pct"/>
            <w:tcBorders>
              <w:top w:val="nil"/>
              <w:left w:val="nil"/>
              <w:bottom w:val="nil"/>
              <w:right w:val="nil"/>
            </w:tcBorders>
            <w:noWrap/>
            <w:vAlign w:val="center"/>
            <w:hideMark/>
          </w:tcPr>
          <w:p w14:paraId="2B036CE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3,1</w:t>
            </w:r>
          </w:p>
        </w:tc>
        <w:tc>
          <w:tcPr>
            <w:tcW w:w="644" w:type="pct"/>
            <w:tcBorders>
              <w:top w:val="nil"/>
              <w:left w:val="nil"/>
              <w:bottom w:val="nil"/>
              <w:right w:val="single" w:sz="4" w:space="0" w:color="auto"/>
            </w:tcBorders>
            <w:noWrap/>
            <w:vAlign w:val="center"/>
            <w:hideMark/>
          </w:tcPr>
          <w:p w14:paraId="3D76C7F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20</w:t>
            </w:r>
          </w:p>
        </w:tc>
      </w:tr>
      <w:tr w:rsidR="005624D6" w:rsidRPr="007C1145" w14:paraId="1EF02A95" w14:textId="77777777" w:rsidTr="00AD452B">
        <w:trPr>
          <w:trHeight w:hRule="exact" w:val="284"/>
        </w:trPr>
        <w:tc>
          <w:tcPr>
            <w:tcW w:w="1096" w:type="pct"/>
            <w:tcBorders>
              <w:top w:val="nil"/>
              <w:left w:val="single" w:sz="4" w:space="0" w:color="auto"/>
              <w:bottom w:val="nil"/>
              <w:right w:val="single" w:sz="4" w:space="0" w:color="auto"/>
            </w:tcBorders>
            <w:noWrap/>
            <w:vAlign w:val="center"/>
            <w:hideMark/>
          </w:tcPr>
          <w:p w14:paraId="2E8B932E"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Sicilia</w:t>
            </w:r>
          </w:p>
        </w:tc>
        <w:tc>
          <w:tcPr>
            <w:tcW w:w="646" w:type="pct"/>
            <w:tcBorders>
              <w:top w:val="nil"/>
              <w:left w:val="single" w:sz="4" w:space="0" w:color="auto"/>
              <w:bottom w:val="nil"/>
              <w:right w:val="nil"/>
            </w:tcBorders>
            <w:noWrap/>
            <w:vAlign w:val="center"/>
            <w:hideMark/>
          </w:tcPr>
          <w:p w14:paraId="3B9A19C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37.406</w:t>
            </w:r>
          </w:p>
        </w:tc>
        <w:tc>
          <w:tcPr>
            <w:tcW w:w="661" w:type="pct"/>
            <w:tcBorders>
              <w:top w:val="nil"/>
              <w:left w:val="nil"/>
              <w:bottom w:val="nil"/>
              <w:right w:val="nil"/>
            </w:tcBorders>
            <w:noWrap/>
            <w:vAlign w:val="center"/>
            <w:hideMark/>
          </w:tcPr>
          <w:p w14:paraId="21DC183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139930C0"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15</w:t>
            </w:r>
          </w:p>
        </w:tc>
        <w:tc>
          <w:tcPr>
            <w:tcW w:w="646" w:type="pct"/>
            <w:tcBorders>
              <w:top w:val="nil"/>
              <w:left w:val="nil"/>
              <w:bottom w:val="nil"/>
              <w:right w:val="nil"/>
            </w:tcBorders>
            <w:noWrap/>
            <w:vAlign w:val="center"/>
            <w:hideMark/>
          </w:tcPr>
          <w:p w14:paraId="76EFEF8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67.337</w:t>
            </w:r>
          </w:p>
        </w:tc>
        <w:tc>
          <w:tcPr>
            <w:tcW w:w="661" w:type="pct"/>
            <w:tcBorders>
              <w:top w:val="nil"/>
              <w:left w:val="nil"/>
              <w:bottom w:val="nil"/>
              <w:right w:val="nil"/>
            </w:tcBorders>
            <w:noWrap/>
            <w:vAlign w:val="center"/>
            <w:hideMark/>
          </w:tcPr>
          <w:p w14:paraId="6DC49CE0"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4" w:type="pct"/>
            <w:tcBorders>
              <w:top w:val="nil"/>
              <w:left w:val="nil"/>
              <w:bottom w:val="nil"/>
              <w:right w:val="single" w:sz="4" w:space="0" w:color="auto"/>
            </w:tcBorders>
            <w:noWrap/>
            <w:vAlign w:val="center"/>
            <w:hideMark/>
          </w:tcPr>
          <w:p w14:paraId="2AC33C61"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15</w:t>
            </w:r>
          </w:p>
        </w:tc>
      </w:tr>
      <w:tr w:rsidR="005624D6" w:rsidRPr="007C1145" w14:paraId="676B66C7" w14:textId="77777777" w:rsidTr="00AD452B">
        <w:trPr>
          <w:trHeight w:hRule="exact" w:val="284"/>
        </w:trPr>
        <w:tc>
          <w:tcPr>
            <w:tcW w:w="1096" w:type="pct"/>
            <w:tcBorders>
              <w:top w:val="nil"/>
              <w:left w:val="single" w:sz="4" w:space="0" w:color="auto"/>
              <w:bottom w:val="single" w:sz="4" w:space="0" w:color="auto"/>
              <w:right w:val="single" w:sz="4" w:space="0" w:color="auto"/>
            </w:tcBorders>
            <w:noWrap/>
            <w:vAlign w:val="center"/>
            <w:hideMark/>
          </w:tcPr>
          <w:p w14:paraId="7E9E6BB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Sardegna</w:t>
            </w:r>
          </w:p>
        </w:tc>
        <w:tc>
          <w:tcPr>
            <w:tcW w:w="646" w:type="pct"/>
            <w:tcBorders>
              <w:top w:val="nil"/>
              <w:left w:val="single" w:sz="4" w:space="0" w:color="auto"/>
              <w:bottom w:val="nil"/>
              <w:right w:val="nil"/>
            </w:tcBorders>
            <w:noWrap/>
            <w:vAlign w:val="center"/>
            <w:hideMark/>
          </w:tcPr>
          <w:p w14:paraId="1E96762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13.107</w:t>
            </w:r>
          </w:p>
        </w:tc>
        <w:tc>
          <w:tcPr>
            <w:tcW w:w="661" w:type="pct"/>
            <w:tcBorders>
              <w:top w:val="nil"/>
              <w:left w:val="nil"/>
              <w:bottom w:val="nil"/>
              <w:right w:val="nil"/>
            </w:tcBorders>
            <w:noWrap/>
            <w:vAlign w:val="center"/>
            <w:hideMark/>
          </w:tcPr>
          <w:p w14:paraId="0D3EFAE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2,0</w:t>
            </w:r>
          </w:p>
        </w:tc>
        <w:tc>
          <w:tcPr>
            <w:tcW w:w="646" w:type="pct"/>
            <w:tcBorders>
              <w:top w:val="nil"/>
              <w:left w:val="nil"/>
              <w:bottom w:val="nil"/>
              <w:right w:val="single" w:sz="4" w:space="0" w:color="auto"/>
            </w:tcBorders>
            <w:noWrap/>
            <w:vAlign w:val="center"/>
            <w:hideMark/>
          </w:tcPr>
          <w:p w14:paraId="442C2FC2"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19</w:t>
            </w:r>
          </w:p>
        </w:tc>
        <w:tc>
          <w:tcPr>
            <w:tcW w:w="646" w:type="pct"/>
            <w:tcBorders>
              <w:top w:val="nil"/>
              <w:left w:val="nil"/>
              <w:bottom w:val="nil"/>
              <w:right w:val="nil"/>
            </w:tcBorders>
            <w:noWrap/>
            <w:vAlign w:val="center"/>
            <w:hideMark/>
          </w:tcPr>
          <w:p w14:paraId="6E30F60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21.104</w:t>
            </w:r>
          </w:p>
        </w:tc>
        <w:tc>
          <w:tcPr>
            <w:tcW w:w="661" w:type="pct"/>
            <w:tcBorders>
              <w:top w:val="nil"/>
              <w:left w:val="nil"/>
              <w:bottom w:val="nil"/>
              <w:right w:val="nil"/>
            </w:tcBorders>
            <w:noWrap/>
            <w:vAlign w:val="center"/>
            <w:hideMark/>
          </w:tcPr>
          <w:p w14:paraId="675B2822"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3,2</w:t>
            </w:r>
          </w:p>
        </w:tc>
        <w:tc>
          <w:tcPr>
            <w:tcW w:w="644" w:type="pct"/>
            <w:tcBorders>
              <w:top w:val="nil"/>
              <w:left w:val="nil"/>
              <w:bottom w:val="nil"/>
              <w:right w:val="single" w:sz="4" w:space="0" w:color="auto"/>
            </w:tcBorders>
            <w:noWrap/>
            <w:vAlign w:val="center"/>
            <w:hideMark/>
          </w:tcPr>
          <w:p w14:paraId="2F1F862E" w14:textId="77777777" w:rsidR="005624D6" w:rsidRPr="007C1145" w:rsidRDefault="005624D6" w:rsidP="00AD452B">
            <w:pPr>
              <w:spacing w:after="0" w:line="240" w:lineRule="auto"/>
              <w:jc w:val="right"/>
              <w:rPr>
                <w:rFonts w:ascii="Aptos" w:eastAsia="Times New Roman" w:hAnsi="Aptos" w:cs="Times New Roman"/>
                <w:i/>
                <w:iCs/>
                <w:sz w:val="18"/>
                <w:szCs w:val="18"/>
                <w:lang w:eastAsia="it-IT"/>
              </w:rPr>
            </w:pPr>
            <w:r w:rsidRPr="007C1145">
              <w:rPr>
                <w:rFonts w:ascii="Aptos" w:hAnsi="Aptos"/>
                <w:sz w:val="18"/>
                <w:szCs w:val="18"/>
              </w:rPr>
              <w:t>19</w:t>
            </w:r>
          </w:p>
        </w:tc>
      </w:tr>
      <w:tr w:rsidR="005624D6" w:rsidRPr="007C1145" w14:paraId="1EE5BA0A"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1E52D8DB"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NORD-OVEST</w:t>
            </w:r>
          </w:p>
        </w:tc>
        <w:tc>
          <w:tcPr>
            <w:tcW w:w="646" w:type="pct"/>
            <w:tcBorders>
              <w:top w:val="single" w:sz="4" w:space="0" w:color="auto"/>
              <w:left w:val="single" w:sz="4" w:space="0" w:color="auto"/>
              <w:bottom w:val="nil"/>
              <w:right w:val="nil"/>
            </w:tcBorders>
            <w:noWrap/>
            <w:vAlign w:val="center"/>
            <w:hideMark/>
          </w:tcPr>
          <w:p w14:paraId="6B5606F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337.959</w:t>
            </w:r>
          </w:p>
        </w:tc>
        <w:tc>
          <w:tcPr>
            <w:tcW w:w="661" w:type="pct"/>
            <w:tcBorders>
              <w:top w:val="single" w:sz="4" w:space="0" w:color="auto"/>
              <w:left w:val="nil"/>
              <w:bottom w:val="nil"/>
              <w:right w:val="nil"/>
            </w:tcBorders>
            <w:noWrap/>
            <w:vAlign w:val="center"/>
            <w:hideMark/>
          </w:tcPr>
          <w:p w14:paraId="5E5762B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4,3</w:t>
            </w:r>
          </w:p>
        </w:tc>
        <w:tc>
          <w:tcPr>
            <w:tcW w:w="646" w:type="pct"/>
            <w:tcBorders>
              <w:top w:val="single" w:sz="4" w:space="0" w:color="auto"/>
              <w:left w:val="nil"/>
              <w:bottom w:val="nil"/>
              <w:right w:val="single" w:sz="4" w:space="0" w:color="auto"/>
            </w:tcBorders>
            <w:noWrap/>
            <w:vAlign w:val="center"/>
            <w:hideMark/>
          </w:tcPr>
          <w:p w14:paraId="5973E17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single" w:sz="4" w:space="0" w:color="auto"/>
              <w:left w:val="nil"/>
              <w:bottom w:val="nil"/>
              <w:right w:val="nil"/>
            </w:tcBorders>
            <w:noWrap/>
            <w:vAlign w:val="center"/>
            <w:hideMark/>
          </w:tcPr>
          <w:p w14:paraId="4D9DBF9D"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533.545</w:t>
            </w:r>
          </w:p>
        </w:tc>
        <w:tc>
          <w:tcPr>
            <w:tcW w:w="661" w:type="pct"/>
            <w:tcBorders>
              <w:top w:val="single" w:sz="4" w:space="0" w:color="auto"/>
              <w:left w:val="nil"/>
              <w:bottom w:val="nil"/>
              <w:right w:val="nil"/>
            </w:tcBorders>
            <w:noWrap/>
            <w:vAlign w:val="center"/>
            <w:hideMark/>
          </w:tcPr>
          <w:p w14:paraId="37CCD003"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w:t>
            </w:r>
          </w:p>
        </w:tc>
        <w:tc>
          <w:tcPr>
            <w:tcW w:w="644" w:type="pct"/>
            <w:tcBorders>
              <w:top w:val="single" w:sz="4" w:space="0" w:color="auto"/>
              <w:left w:val="nil"/>
              <w:bottom w:val="nil"/>
              <w:right w:val="single" w:sz="4" w:space="0" w:color="auto"/>
            </w:tcBorders>
            <w:noWrap/>
            <w:vAlign w:val="center"/>
            <w:hideMark/>
          </w:tcPr>
          <w:p w14:paraId="4754E51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2171D7B1"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6E1ECFD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NORD-EST</w:t>
            </w:r>
          </w:p>
        </w:tc>
        <w:tc>
          <w:tcPr>
            <w:tcW w:w="646" w:type="pct"/>
            <w:tcBorders>
              <w:top w:val="nil"/>
              <w:left w:val="single" w:sz="4" w:space="0" w:color="auto"/>
              <w:bottom w:val="nil"/>
              <w:right w:val="nil"/>
            </w:tcBorders>
            <w:noWrap/>
            <w:vAlign w:val="center"/>
            <w:hideMark/>
          </w:tcPr>
          <w:p w14:paraId="2F17A25A"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181.885</w:t>
            </w:r>
          </w:p>
        </w:tc>
        <w:tc>
          <w:tcPr>
            <w:tcW w:w="661" w:type="pct"/>
            <w:tcBorders>
              <w:top w:val="nil"/>
              <w:left w:val="nil"/>
              <w:bottom w:val="nil"/>
              <w:right w:val="nil"/>
            </w:tcBorders>
            <w:noWrap/>
            <w:vAlign w:val="center"/>
            <w:hideMark/>
          </w:tcPr>
          <w:p w14:paraId="38BC224C"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3.1</w:t>
            </w:r>
          </w:p>
        </w:tc>
        <w:tc>
          <w:tcPr>
            <w:tcW w:w="646" w:type="pct"/>
            <w:tcBorders>
              <w:top w:val="nil"/>
              <w:left w:val="nil"/>
              <w:bottom w:val="nil"/>
              <w:right w:val="single" w:sz="4" w:space="0" w:color="auto"/>
            </w:tcBorders>
            <w:noWrap/>
            <w:vAlign w:val="center"/>
            <w:hideMark/>
          </w:tcPr>
          <w:p w14:paraId="247CA204"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5C603636"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340.746</w:t>
            </w:r>
          </w:p>
        </w:tc>
        <w:tc>
          <w:tcPr>
            <w:tcW w:w="661" w:type="pct"/>
            <w:tcBorders>
              <w:top w:val="nil"/>
              <w:left w:val="nil"/>
              <w:bottom w:val="nil"/>
              <w:right w:val="nil"/>
            </w:tcBorders>
            <w:noWrap/>
            <w:vAlign w:val="center"/>
            <w:hideMark/>
          </w:tcPr>
          <w:p w14:paraId="720CAFBF"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5,9</w:t>
            </w:r>
          </w:p>
        </w:tc>
        <w:tc>
          <w:tcPr>
            <w:tcW w:w="644" w:type="pct"/>
            <w:tcBorders>
              <w:top w:val="nil"/>
              <w:left w:val="nil"/>
              <w:bottom w:val="nil"/>
              <w:right w:val="single" w:sz="4" w:space="0" w:color="auto"/>
            </w:tcBorders>
            <w:noWrap/>
            <w:vAlign w:val="center"/>
            <w:hideMark/>
          </w:tcPr>
          <w:p w14:paraId="6BBF356F"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37D1CB71"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276C583A"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CENTRO</w:t>
            </w:r>
          </w:p>
        </w:tc>
        <w:tc>
          <w:tcPr>
            <w:tcW w:w="646" w:type="pct"/>
            <w:tcBorders>
              <w:top w:val="nil"/>
              <w:left w:val="single" w:sz="4" w:space="0" w:color="auto"/>
              <w:bottom w:val="nil"/>
              <w:right w:val="nil"/>
            </w:tcBorders>
            <w:noWrap/>
            <w:vAlign w:val="center"/>
            <w:hideMark/>
          </w:tcPr>
          <w:p w14:paraId="02816205"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230.859</w:t>
            </w:r>
          </w:p>
        </w:tc>
        <w:tc>
          <w:tcPr>
            <w:tcW w:w="661" w:type="pct"/>
            <w:tcBorders>
              <w:top w:val="nil"/>
              <w:left w:val="nil"/>
              <w:bottom w:val="nil"/>
              <w:right w:val="nil"/>
            </w:tcBorders>
            <w:noWrap/>
            <w:vAlign w:val="center"/>
            <w:hideMark/>
          </w:tcPr>
          <w:p w14:paraId="389A0F17"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4,0</w:t>
            </w:r>
          </w:p>
        </w:tc>
        <w:tc>
          <w:tcPr>
            <w:tcW w:w="646" w:type="pct"/>
            <w:tcBorders>
              <w:top w:val="nil"/>
              <w:left w:val="nil"/>
              <w:bottom w:val="nil"/>
              <w:right w:val="single" w:sz="4" w:space="0" w:color="auto"/>
            </w:tcBorders>
            <w:noWrap/>
            <w:vAlign w:val="center"/>
            <w:hideMark/>
          </w:tcPr>
          <w:p w14:paraId="0941C4D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3B286024"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381.872</w:t>
            </w:r>
          </w:p>
        </w:tc>
        <w:tc>
          <w:tcPr>
            <w:tcW w:w="661" w:type="pct"/>
            <w:tcBorders>
              <w:top w:val="nil"/>
              <w:left w:val="nil"/>
              <w:bottom w:val="nil"/>
              <w:right w:val="nil"/>
            </w:tcBorders>
            <w:noWrap/>
            <w:vAlign w:val="center"/>
            <w:hideMark/>
          </w:tcPr>
          <w:p w14:paraId="16FD133B"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6,7</w:t>
            </w:r>
          </w:p>
        </w:tc>
        <w:tc>
          <w:tcPr>
            <w:tcW w:w="644" w:type="pct"/>
            <w:tcBorders>
              <w:top w:val="nil"/>
              <w:left w:val="nil"/>
              <w:bottom w:val="nil"/>
              <w:right w:val="single" w:sz="4" w:space="0" w:color="auto"/>
            </w:tcBorders>
            <w:noWrap/>
            <w:vAlign w:val="center"/>
            <w:hideMark/>
          </w:tcPr>
          <w:p w14:paraId="05D7833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040BCD45" w14:textId="77777777" w:rsidTr="00AD452B">
        <w:trPr>
          <w:trHeight w:hRule="exact" w:val="340"/>
        </w:trPr>
        <w:tc>
          <w:tcPr>
            <w:tcW w:w="1096" w:type="pct"/>
            <w:tcBorders>
              <w:top w:val="nil"/>
              <w:left w:val="single" w:sz="4" w:space="0" w:color="auto"/>
              <w:bottom w:val="nil"/>
              <w:right w:val="single" w:sz="4" w:space="0" w:color="auto"/>
            </w:tcBorders>
            <w:noWrap/>
            <w:vAlign w:val="center"/>
            <w:hideMark/>
          </w:tcPr>
          <w:p w14:paraId="06768E90"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eastAsia="Times New Roman" w:hAnsi="Aptos" w:cs="Times New Roman"/>
                <w:sz w:val="18"/>
                <w:szCs w:val="18"/>
                <w:lang w:eastAsia="it-IT"/>
              </w:rPr>
              <w:t>MEZZOGIORNO</w:t>
            </w:r>
          </w:p>
        </w:tc>
        <w:tc>
          <w:tcPr>
            <w:tcW w:w="646" w:type="pct"/>
            <w:tcBorders>
              <w:top w:val="nil"/>
              <w:left w:val="single" w:sz="4" w:space="0" w:color="auto"/>
              <w:bottom w:val="nil"/>
              <w:right w:val="nil"/>
            </w:tcBorders>
            <w:noWrap/>
            <w:vAlign w:val="center"/>
            <w:hideMark/>
          </w:tcPr>
          <w:p w14:paraId="0D47DBF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164.569</w:t>
            </w:r>
          </w:p>
        </w:tc>
        <w:tc>
          <w:tcPr>
            <w:tcW w:w="661" w:type="pct"/>
            <w:tcBorders>
              <w:top w:val="nil"/>
              <w:left w:val="nil"/>
              <w:bottom w:val="nil"/>
              <w:right w:val="nil"/>
            </w:tcBorders>
            <w:noWrap/>
            <w:vAlign w:val="center"/>
            <w:hideMark/>
          </w:tcPr>
          <w:p w14:paraId="18CF6329"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2,2</w:t>
            </w:r>
          </w:p>
        </w:tc>
        <w:tc>
          <w:tcPr>
            <w:tcW w:w="646" w:type="pct"/>
            <w:tcBorders>
              <w:top w:val="nil"/>
              <w:left w:val="nil"/>
              <w:bottom w:val="nil"/>
              <w:right w:val="single" w:sz="4" w:space="0" w:color="auto"/>
            </w:tcBorders>
            <w:noWrap/>
            <w:vAlign w:val="center"/>
            <w:hideMark/>
          </w:tcPr>
          <w:p w14:paraId="671BE519"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c>
          <w:tcPr>
            <w:tcW w:w="646" w:type="pct"/>
            <w:tcBorders>
              <w:top w:val="nil"/>
              <w:left w:val="nil"/>
              <w:bottom w:val="nil"/>
              <w:right w:val="nil"/>
            </w:tcBorders>
            <w:noWrap/>
            <w:vAlign w:val="center"/>
            <w:hideMark/>
          </w:tcPr>
          <w:p w14:paraId="3430DBAE"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283.632</w:t>
            </w:r>
          </w:p>
        </w:tc>
        <w:tc>
          <w:tcPr>
            <w:tcW w:w="661" w:type="pct"/>
            <w:tcBorders>
              <w:top w:val="nil"/>
              <w:left w:val="nil"/>
              <w:bottom w:val="nil"/>
              <w:right w:val="nil"/>
            </w:tcBorders>
            <w:noWrap/>
            <w:vAlign w:val="center"/>
            <w:hideMark/>
          </w:tcPr>
          <w:p w14:paraId="516875C1" w14:textId="77777777" w:rsidR="005624D6" w:rsidRPr="007C1145" w:rsidRDefault="005624D6" w:rsidP="00AD452B">
            <w:pPr>
              <w:spacing w:after="0" w:line="240" w:lineRule="auto"/>
              <w:jc w:val="right"/>
              <w:rPr>
                <w:rFonts w:ascii="Aptos" w:eastAsia="Times New Roman" w:hAnsi="Aptos" w:cs="Times New Roman"/>
                <w:sz w:val="18"/>
                <w:szCs w:val="18"/>
                <w:lang w:eastAsia="it-IT"/>
              </w:rPr>
            </w:pPr>
            <w:r w:rsidRPr="007C1145">
              <w:rPr>
                <w:rFonts w:ascii="Aptos" w:hAnsi="Aptos"/>
                <w:sz w:val="18"/>
                <w:szCs w:val="18"/>
              </w:rPr>
              <w:t>3,9</w:t>
            </w:r>
          </w:p>
        </w:tc>
        <w:tc>
          <w:tcPr>
            <w:tcW w:w="644" w:type="pct"/>
            <w:tcBorders>
              <w:top w:val="nil"/>
              <w:left w:val="nil"/>
              <w:bottom w:val="nil"/>
              <w:right w:val="single" w:sz="4" w:space="0" w:color="auto"/>
            </w:tcBorders>
            <w:noWrap/>
            <w:vAlign w:val="center"/>
            <w:hideMark/>
          </w:tcPr>
          <w:p w14:paraId="2F7A5B42" w14:textId="77777777" w:rsidR="005624D6" w:rsidRPr="007C1145" w:rsidRDefault="005624D6" w:rsidP="00AD452B">
            <w:pPr>
              <w:spacing w:after="0" w:line="240" w:lineRule="auto"/>
              <w:rPr>
                <w:rFonts w:ascii="Aptos" w:eastAsia="Times New Roman" w:hAnsi="Aptos" w:cs="Times New Roman"/>
                <w:sz w:val="18"/>
                <w:szCs w:val="18"/>
                <w:lang w:eastAsia="it-IT"/>
              </w:rPr>
            </w:pPr>
            <w:r w:rsidRPr="007C1145">
              <w:rPr>
                <w:rFonts w:ascii="Aptos" w:hAnsi="Aptos"/>
                <w:sz w:val="18"/>
                <w:szCs w:val="18"/>
              </w:rPr>
              <w:t> </w:t>
            </w:r>
          </w:p>
        </w:tc>
      </w:tr>
      <w:tr w:rsidR="005624D6" w:rsidRPr="007C1145" w14:paraId="041D4ECE" w14:textId="77777777" w:rsidTr="00AD452B">
        <w:trPr>
          <w:trHeight w:hRule="exact" w:val="397"/>
        </w:trPr>
        <w:tc>
          <w:tcPr>
            <w:tcW w:w="10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CE7ED2"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eastAsia="Times New Roman" w:hAnsi="Aptos" w:cs="Times New Roman"/>
                <w:b/>
                <w:bCs/>
                <w:sz w:val="18"/>
                <w:szCs w:val="18"/>
                <w:lang w:eastAsia="it-IT"/>
              </w:rPr>
              <w:t>ITALIA</w:t>
            </w:r>
          </w:p>
        </w:tc>
        <w:tc>
          <w:tcPr>
            <w:tcW w:w="646" w:type="pct"/>
            <w:tcBorders>
              <w:top w:val="single" w:sz="4" w:space="0" w:color="auto"/>
              <w:left w:val="single" w:sz="4" w:space="0" w:color="auto"/>
              <w:bottom w:val="single" w:sz="4" w:space="0" w:color="auto"/>
              <w:right w:val="nil"/>
            </w:tcBorders>
            <w:shd w:val="clear" w:color="000000" w:fill="F2F2F2"/>
            <w:noWrap/>
            <w:vAlign w:val="center"/>
            <w:hideMark/>
          </w:tcPr>
          <w:p w14:paraId="33E42551"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915.272</w:t>
            </w:r>
          </w:p>
        </w:tc>
        <w:tc>
          <w:tcPr>
            <w:tcW w:w="661" w:type="pct"/>
            <w:tcBorders>
              <w:top w:val="single" w:sz="4" w:space="0" w:color="auto"/>
              <w:left w:val="nil"/>
              <w:bottom w:val="single" w:sz="4" w:space="0" w:color="auto"/>
              <w:right w:val="nil"/>
            </w:tcBorders>
            <w:shd w:val="clear" w:color="000000" w:fill="F2F2F2"/>
            <w:noWrap/>
            <w:vAlign w:val="center"/>
            <w:hideMark/>
          </w:tcPr>
          <w:p w14:paraId="527864E6"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3,4</w:t>
            </w:r>
          </w:p>
        </w:tc>
        <w:tc>
          <w:tcPr>
            <w:tcW w:w="646" w:type="pct"/>
            <w:tcBorders>
              <w:top w:val="single" w:sz="4" w:space="0" w:color="auto"/>
              <w:left w:val="nil"/>
              <w:bottom w:val="single" w:sz="4" w:space="0" w:color="auto"/>
              <w:right w:val="single" w:sz="4" w:space="0" w:color="auto"/>
            </w:tcBorders>
            <w:shd w:val="clear" w:color="000000" w:fill="F2F2F2"/>
            <w:noWrap/>
            <w:vAlign w:val="center"/>
            <w:hideMark/>
          </w:tcPr>
          <w:p w14:paraId="6FC3A88A"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hAnsi="Aptos"/>
                <w:b/>
                <w:bCs/>
                <w:sz w:val="18"/>
                <w:szCs w:val="18"/>
              </w:rPr>
              <w:t> </w:t>
            </w:r>
          </w:p>
        </w:tc>
        <w:tc>
          <w:tcPr>
            <w:tcW w:w="646" w:type="pct"/>
            <w:tcBorders>
              <w:top w:val="single" w:sz="4" w:space="0" w:color="auto"/>
              <w:left w:val="nil"/>
              <w:bottom w:val="single" w:sz="4" w:space="0" w:color="auto"/>
              <w:right w:val="nil"/>
            </w:tcBorders>
            <w:shd w:val="clear" w:color="000000" w:fill="F2F2F2"/>
            <w:noWrap/>
            <w:vAlign w:val="center"/>
            <w:hideMark/>
          </w:tcPr>
          <w:p w14:paraId="40259FEF"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1.539.794</w:t>
            </w:r>
          </w:p>
        </w:tc>
        <w:tc>
          <w:tcPr>
            <w:tcW w:w="661" w:type="pct"/>
            <w:tcBorders>
              <w:top w:val="single" w:sz="4" w:space="0" w:color="auto"/>
              <w:left w:val="nil"/>
              <w:bottom w:val="single" w:sz="4" w:space="0" w:color="auto"/>
              <w:right w:val="nil"/>
            </w:tcBorders>
            <w:shd w:val="clear" w:color="000000" w:fill="F2F2F2"/>
            <w:noWrap/>
            <w:vAlign w:val="center"/>
            <w:hideMark/>
          </w:tcPr>
          <w:p w14:paraId="7E755994" w14:textId="77777777" w:rsidR="005624D6" w:rsidRPr="007C1145" w:rsidRDefault="005624D6" w:rsidP="00AD452B">
            <w:pPr>
              <w:spacing w:after="0" w:line="240" w:lineRule="auto"/>
              <w:jc w:val="right"/>
              <w:rPr>
                <w:rFonts w:ascii="Aptos" w:eastAsia="Times New Roman" w:hAnsi="Aptos" w:cs="Times New Roman"/>
                <w:b/>
                <w:bCs/>
                <w:sz w:val="18"/>
                <w:szCs w:val="18"/>
                <w:lang w:eastAsia="it-IT"/>
              </w:rPr>
            </w:pPr>
            <w:r w:rsidRPr="007C1145">
              <w:rPr>
                <w:rFonts w:ascii="Aptos" w:hAnsi="Aptos"/>
                <w:b/>
                <w:bCs/>
                <w:sz w:val="18"/>
                <w:szCs w:val="18"/>
              </w:rPr>
              <w:t>5,7</w:t>
            </w:r>
          </w:p>
        </w:tc>
        <w:tc>
          <w:tcPr>
            <w:tcW w:w="644" w:type="pct"/>
            <w:tcBorders>
              <w:top w:val="single" w:sz="4" w:space="0" w:color="auto"/>
              <w:left w:val="nil"/>
              <w:bottom w:val="single" w:sz="4" w:space="0" w:color="auto"/>
              <w:right w:val="single" w:sz="4" w:space="0" w:color="auto"/>
            </w:tcBorders>
            <w:shd w:val="clear" w:color="000000" w:fill="F2F2F2"/>
            <w:noWrap/>
            <w:vAlign w:val="center"/>
            <w:hideMark/>
          </w:tcPr>
          <w:p w14:paraId="76FA8716" w14:textId="77777777" w:rsidR="005624D6" w:rsidRPr="007C1145" w:rsidRDefault="005624D6" w:rsidP="00AD452B">
            <w:pPr>
              <w:spacing w:after="0" w:line="240" w:lineRule="auto"/>
              <w:rPr>
                <w:rFonts w:ascii="Aptos" w:eastAsia="Times New Roman" w:hAnsi="Aptos" w:cs="Times New Roman"/>
                <w:b/>
                <w:bCs/>
                <w:sz w:val="18"/>
                <w:szCs w:val="18"/>
                <w:lang w:eastAsia="it-IT"/>
              </w:rPr>
            </w:pPr>
            <w:r w:rsidRPr="007C1145">
              <w:rPr>
                <w:rFonts w:ascii="Aptos" w:hAnsi="Aptos"/>
                <w:b/>
                <w:bCs/>
                <w:sz w:val="18"/>
                <w:szCs w:val="18"/>
              </w:rPr>
              <w:t> </w:t>
            </w:r>
          </w:p>
        </w:tc>
      </w:tr>
    </w:tbl>
    <w:p w14:paraId="7364F964" w14:textId="77777777" w:rsidR="005624D6" w:rsidRPr="007C1145" w:rsidRDefault="005624D6" w:rsidP="005624D6">
      <w:pPr>
        <w:spacing w:before="60" w:after="360"/>
        <w:rPr>
          <w:rFonts w:eastAsia="Times New Roman" w:cstheme="minorHAnsi"/>
          <w:sz w:val="18"/>
          <w:lang w:eastAsia="it-IT"/>
        </w:rPr>
      </w:pPr>
      <w:r w:rsidRPr="007C1145">
        <w:rPr>
          <w:rFonts w:eastAsia="Times New Roman" w:cstheme="minorHAnsi"/>
          <w:sz w:val="18"/>
          <w:lang w:eastAsia="it-IT"/>
        </w:rPr>
        <w:t>Fonte: Centro Studi Tagliacarne - Unioncamere, Fondazione Symbola, 2026</w:t>
      </w:r>
    </w:p>
    <w:p w14:paraId="2EAC207F" w14:textId="77777777" w:rsidR="00B67FB7" w:rsidRDefault="00B67FB7" w:rsidP="0007491E">
      <w:pPr>
        <w:autoSpaceDE w:val="0"/>
        <w:autoSpaceDN w:val="0"/>
        <w:adjustRightInd w:val="0"/>
        <w:spacing w:after="0" w:line="240" w:lineRule="auto"/>
        <w:jc w:val="both"/>
        <w:rPr>
          <w:rFonts w:ascii="Arial" w:eastAsia="Times New Roman" w:hAnsi="Arial" w:cs="Arial"/>
          <w:bCs/>
          <w:sz w:val="20"/>
          <w:szCs w:val="20"/>
          <w:lang w:eastAsia="it-IT"/>
        </w:rPr>
      </w:pPr>
    </w:p>
    <w:p w14:paraId="4AB0EDB0"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63E59564"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3289E37A"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6C318C99"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46CE7F98"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0FB6CF02"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1EBB3A70" w14:textId="77777777" w:rsidR="00B97D32" w:rsidRDefault="00B97D32" w:rsidP="0007491E">
      <w:pPr>
        <w:autoSpaceDE w:val="0"/>
        <w:autoSpaceDN w:val="0"/>
        <w:adjustRightInd w:val="0"/>
        <w:spacing w:after="0" w:line="240" w:lineRule="auto"/>
        <w:jc w:val="both"/>
        <w:rPr>
          <w:rFonts w:ascii="Arial" w:eastAsia="Times New Roman" w:hAnsi="Arial" w:cs="Arial"/>
          <w:bCs/>
          <w:sz w:val="20"/>
          <w:szCs w:val="20"/>
          <w:lang w:eastAsia="it-IT"/>
        </w:rPr>
      </w:pPr>
    </w:p>
    <w:p w14:paraId="76317E50" w14:textId="5348C21D" w:rsidR="001D0817" w:rsidRPr="00AB0497" w:rsidRDefault="001D0817" w:rsidP="001D0817">
      <w:pPr>
        <w:spacing w:before="480" w:after="0"/>
        <w:jc w:val="both"/>
        <w:rPr>
          <w:rFonts w:eastAsia="Times New Roman" w:cstheme="minorHAnsi"/>
          <w:b/>
          <w:sz w:val="24"/>
          <w:szCs w:val="24"/>
          <w:lang w:eastAsia="it-IT"/>
        </w:rPr>
      </w:pPr>
      <w:r w:rsidRPr="00AB0497">
        <w:rPr>
          <w:rFonts w:eastAsia="Times New Roman" w:cstheme="minorHAnsi"/>
          <w:b/>
          <w:sz w:val="24"/>
          <w:szCs w:val="24"/>
          <w:lang w:eastAsia="it-IT"/>
        </w:rPr>
        <w:t>Prime province per peso del Sistema Produttivo Culturale e Creativo</w:t>
      </w:r>
    </w:p>
    <w:p w14:paraId="63C7BD7E" w14:textId="77777777" w:rsidR="001D0817" w:rsidRPr="00AB0497" w:rsidRDefault="001D0817" w:rsidP="001D0817">
      <w:pPr>
        <w:spacing w:after="0"/>
        <w:jc w:val="both"/>
        <w:rPr>
          <w:rFonts w:eastAsia="Times New Roman" w:cstheme="minorHAnsi"/>
          <w:lang w:eastAsia="it-IT"/>
        </w:rPr>
      </w:pPr>
      <w:r w:rsidRPr="00AB0497">
        <w:rPr>
          <w:rFonts w:eastAsia="Times New Roman" w:cstheme="minorHAnsi"/>
          <w:lang w:eastAsia="it-IT"/>
        </w:rPr>
        <w:t>Anno 2025 (incidenze percentuali sul totale economia provinciale)</w:t>
      </w:r>
    </w:p>
    <w:p w14:paraId="00BD837D" w14:textId="144582E4" w:rsidR="001D0817" w:rsidRPr="00C12FBD" w:rsidRDefault="00C12FBD" w:rsidP="001D0817">
      <w:pPr>
        <w:spacing w:before="120" w:after="0"/>
        <w:jc w:val="both"/>
        <w:rPr>
          <w:rFonts w:eastAsia="Times New Roman" w:cstheme="minorHAnsi"/>
          <w:sz w:val="18"/>
          <w:highlight w:val="yellow"/>
          <w:lang w:eastAsia="it-IT"/>
        </w:rPr>
      </w:pPr>
      <w:r w:rsidRPr="00C12FBD">
        <w:rPr>
          <w:rFonts w:eastAsia="Times New Roman" w:cstheme="minorHAnsi"/>
          <w:noProof/>
          <w:sz w:val="18"/>
          <w:highlight w:val="yellow"/>
          <w:lang w:eastAsia="it-IT"/>
        </w:rPr>
        <w:drawing>
          <wp:inline distT="0" distB="0" distL="0" distR="0" wp14:anchorId="49BB2E08" wp14:editId="1BD53FB1">
            <wp:extent cx="6120130" cy="4140200"/>
            <wp:effectExtent l="0" t="0" r="0" b="0"/>
            <wp:docPr id="19529234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3412" name=""/>
                    <pic:cNvPicPr/>
                  </pic:nvPicPr>
                  <pic:blipFill rotWithShape="1">
                    <a:blip r:embed="rId7"/>
                    <a:srcRect t="10311" b="4594"/>
                    <a:stretch>
                      <a:fillRect/>
                    </a:stretch>
                  </pic:blipFill>
                  <pic:spPr bwMode="auto">
                    <a:xfrm>
                      <a:off x="0" y="0"/>
                      <a:ext cx="6120130" cy="4140200"/>
                    </a:xfrm>
                    <a:prstGeom prst="rect">
                      <a:avLst/>
                    </a:prstGeom>
                    <a:ln>
                      <a:noFill/>
                    </a:ln>
                    <a:extLst>
                      <a:ext uri="{53640926-AAD7-44D8-BBD7-CCE9431645EC}">
                        <a14:shadowObscured xmlns:a14="http://schemas.microsoft.com/office/drawing/2010/main"/>
                      </a:ext>
                    </a:extLst>
                  </pic:spPr>
                </pic:pic>
              </a:graphicData>
            </a:graphic>
          </wp:inline>
        </w:drawing>
      </w:r>
    </w:p>
    <w:p w14:paraId="387255DD" w14:textId="0169F76E" w:rsidR="00E55912" w:rsidRDefault="001D0817" w:rsidP="001D0817">
      <w:pPr>
        <w:spacing w:after="360"/>
        <w:rPr>
          <w:rFonts w:ascii="Calibri" w:hAnsi="Calibri" w:cs="Calibri"/>
          <w:sz w:val="18"/>
          <w:szCs w:val="20"/>
        </w:rPr>
      </w:pPr>
      <w:r w:rsidRPr="00AB0497">
        <w:rPr>
          <w:rFonts w:eastAsia="Times New Roman" w:cstheme="minorHAnsi"/>
          <w:sz w:val="18"/>
          <w:lang w:eastAsia="it-IT"/>
        </w:rPr>
        <w:t>Fonte: Centro Studi Tagliacarne - Unioncamere, Fondazione Symbola, 2026</w:t>
      </w:r>
    </w:p>
    <w:p w14:paraId="73E91697" w14:textId="77777777" w:rsidR="00653EC8" w:rsidRDefault="00653EC8" w:rsidP="00732057">
      <w:pPr>
        <w:spacing w:before="60" w:after="360" w:line="240" w:lineRule="auto"/>
        <w:jc w:val="both"/>
        <w:rPr>
          <w:rFonts w:eastAsia="Times New Roman" w:cstheme="minorHAnsi"/>
          <w:b/>
          <w:sz w:val="24"/>
          <w:szCs w:val="24"/>
          <w:lang w:eastAsia="it-IT"/>
        </w:rPr>
      </w:pPr>
    </w:p>
    <w:p w14:paraId="3C05E524" w14:textId="77777777" w:rsidR="00653EC8" w:rsidRDefault="00653EC8" w:rsidP="00732057">
      <w:pPr>
        <w:spacing w:before="60" w:after="360" w:line="240" w:lineRule="auto"/>
        <w:jc w:val="both"/>
        <w:rPr>
          <w:rFonts w:eastAsia="Times New Roman" w:cstheme="minorHAnsi"/>
          <w:b/>
          <w:sz w:val="24"/>
          <w:szCs w:val="24"/>
          <w:lang w:eastAsia="it-IT"/>
        </w:rPr>
      </w:pPr>
    </w:p>
    <w:p w14:paraId="147EB0AA" w14:textId="77777777" w:rsidR="00653EC8" w:rsidRDefault="00653EC8" w:rsidP="00732057">
      <w:pPr>
        <w:spacing w:before="60" w:after="360" w:line="240" w:lineRule="auto"/>
        <w:jc w:val="both"/>
        <w:rPr>
          <w:rFonts w:eastAsia="Times New Roman" w:cstheme="minorHAnsi"/>
          <w:b/>
          <w:sz w:val="24"/>
          <w:szCs w:val="24"/>
          <w:lang w:eastAsia="it-IT"/>
        </w:rPr>
      </w:pPr>
    </w:p>
    <w:p w14:paraId="7EAD7AAA" w14:textId="77777777" w:rsidR="00653EC8" w:rsidRDefault="00653EC8" w:rsidP="00732057">
      <w:pPr>
        <w:spacing w:before="60" w:after="360" w:line="240" w:lineRule="auto"/>
        <w:jc w:val="both"/>
        <w:rPr>
          <w:rFonts w:eastAsia="Times New Roman" w:cstheme="minorHAnsi"/>
          <w:b/>
          <w:sz w:val="24"/>
          <w:szCs w:val="24"/>
          <w:lang w:eastAsia="it-IT"/>
        </w:rPr>
      </w:pPr>
    </w:p>
    <w:p w14:paraId="751EC824" w14:textId="77777777" w:rsidR="00653EC8" w:rsidRDefault="00653EC8" w:rsidP="00732057">
      <w:pPr>
        <w:spacing w:before="60" w:after="360" w:line="240" w:lineRule="auto"/>
        <w:jc w:val="both"/>
        <w:rPr>
          <w:rFonts w:eastAsia="Times New Roman" w:cstheme="minorHAnsi"/>
          <w:b/>
          <w:sz w:val="24"/>
          <w:szCs w:val="24"/>
          <w:lang w:eastAsia="it-IT"/>
        </w:rPr>
      </w:pPr>
    </w:p>
    <w:p w14:paraId="4A67892B" w14:textId="77777777" w:rsidR="00653EC8" w:rsidRDefault="00653EC8" w:rsidP="00732057">
      <w:pPr>
        <w:spacing w:before="60" w:after="360" w:line="240" w:lineRule="auto"/>
        <w:jc w:val="both"/>
        <w:rPr>
          <w:rFonts w:eastAsia="Times New Roman" w:cstheme="minorHAnsi"/>
          <w:b/>
          <w:sz w:val="24"/>
          <w:szCs w:val="24"/>
          <w:lang w:eastAsia="it-IT"/>
        </w:rPr>
      </w:pPr>
    </w:p>
    <w:p w14:paraId="7E37DF1A" w14:textId="77777777" w:rsidR="00653EC8" w:rsidRDefault="00653EC8" w:rsidP="00732057">
      <w:pPr>
        <w:spacing w:before="60" w:after="360" w:line="240" w:lineRule="auto"/>
        <w:jc w:val="both"/>
        <w:rPr>
          <w:rFonts w:eastAsia="Times New Roman" w:cstheme="minorHAnsi"/>
          <w:b/>
          <w:sz w:val="24"/>
          <w:szCs w:val="24"/>
          <w:lang w:eastAsia="it-IT"/>
        </w:rPr>
      </w:pPr>
    </w:p>
    <w:p w14:paraId="1845AD2F" w14:textId="77777777" w:rsidR="00653EC8" w:rsidRDefault="00653EC8" w:rsidP="00732057">
      <w:pPr>
        <w:spacing w:before="60" w:after="360" w:line="240" w:lineRule="auto"/>
        <w:jc w:val="both"/>
        <w:rPr>
          <w:rFonts w:eastAsia="Times New Roman" w:cstheme="minorHAnsi"/>
          <w:b/>
          <w:sz w:val="24"/>
          <w:szCs w:val="24"/>
          <w:lang w:eastAsia="it-IT"/>
        </w:rPr>
      </w:pPr>
    </w:p>
    <w:p w14:paraId="234657D1" w14:textId="315801B1" w:rsidR="008B3B32" w:rsidRDefault="008B3B32" w:rsidP="00732057">
      <w:pPr>
        <w:spacing w:before="60" w:after="360" w:line="240" w:lineRule="auto"/>
        <w:jc w:val="both"/>
        <w:rPr>
          <w:rFonts w:eastAsia="Times New Roman" w:cstheme="minorHAnsi"/>
          <w:b/>
          <w:sz w:val="24"/>
          <w:szCs w:val="24"/>
          <w:lang w:eastAsia="it-IT"/>
        </w:rPr>
      </w:pPr>
      <w:r w:rsidRPr="008B3B32">
        <w:rPr>
          <w:rFonts w:eastAsia="Times New Roman" w:cstheme="minorHAnsi"/>
          <w:b/>
          <w:sz w:val="24"/>
          <w:szCs w:val="24"/>
          <w:lang w:eastAsia="it-IT"/>
        </w:rPr>
        <w:t>Valore aggiunto e occupazione dei settori del sistema culturale e creativo</w:t>
      </w:r>
      <w:r w:rsidRPr="008B3B32" w:rsidDel="008B3B32">
        <w:rPr>
          <w:rFonts w:eastAsia="Times New Roman" w:cstheme="minorHAnsi"/>
          <w:b/>
          <w:sz w:val="24"/>
          <w:szCs w:val="24"/>
          <w:highlight w:val="yellow"/>
          <w:lang w:eastAsia="it-IT"/>
        </w:rPr>
        <w:t xml:space="preserve"> </w:t>
      </w:r>
    </w:p>
    <w:p w14:paraId="6A468431" w14:textId="39181227" w:rsidR="001D7E37" w:rsidRPr="007C1145" w:rsidRDefault="001D7E37" w:rsidP="00732057">
      <w:pPr>
        <w:spacing w:before="60" w:after="360" w:line="240" w:lineRule="auto"/>
        <w:jc w:val="both"/>
        <w:rPr>
          <w:rFonts w:ascii="Calibri" w:eastAsia="Times New Roman" w:hAnsi="Calibri" w:cs="Calibri"/>
          <w:sz w:val="18"/>
          <w:lang w:eastAsia="it-IT"/>
        </w:rPr>
      </w:pPr>
    </w:p>
    <w:tbl>
      <w:tblPr>
        <w:tblW w:w="9933" w:type="dxa"/>
        <w:tblInd w:w="75" w:type="dxa"/>
        <w:tblCellMar>
          <w:left w:w="70" w:type="dxa"/>
          <w:right w:w="70" w:type="dxa"/>
        </w:tblCellMar>
        <w:tblLook w:val="04A0" w:firstRow="1" w:lastRow="0" w:firstColumn="1" w:lastColumn="0" w:noHBand="0" w:noVBand="1"/>
      </w:tblPr>
      <w:tblGrid>
        <w:gridCol w:w="2263"/>
        <w:gridCol w:w="1440"/>
        <w:gridCol w:w="1288"/>
        <w:gridCol w:w="958"/>
        <w:gridCol w:w="1292"/>
        <w:gridCol w:w="1404"/>
        <w:gridCol w:w="1288"/>
      </w:tblGrid>
      <w:tr w:rsidR="001D7E37" w:rsidRPr="002A474B" w14:paraId="50A550E0" w14:textId="77777777" w:rsidTr="009F3867">
        <w:trPr>
          <w:trHeight w:val="312"/>
        </w:trPr>
        <w:tc>
          <w:tcPr>
            <w:tcW w:w="2263" w:type="dxa"/>
            <w:vMerge w:val="restart"/>
            <w:tcBorders>
              <w:top w:val="single" w:sz="4" w:space="0" w:color="auto"/>
              <w:left w:val="single" w:sz="4" w:space="0" w:color="auto"/>
              <w:bottom w:val="single" w:sz="4" w:space="0" w:color="000000"/>
              <w:right w:val="single" w:sz="4" w:space="0" w:color="auto"/>
            </w:tcBorders>
            <w:noWrap/>
            <w:vAlign w:val="center"/>
            <w:hideMark/>
          </w:tcPr>
          <w:p w14:paraId="5A06A708" w14:textId="77777777" w:rsidR="001D7E37" w:rsidRPr="002A474B" w:rsidRDefault="001D7E37" w:rsidP="009F3867">
            <w:pPr>
              <w:spacing w:after="0" w:line="240" w:lineRule="auto"/>
              <w:jc w:val="center"/>
              <w:rPr>
                <w:rFonts w:ascii="Aptos" w:eastAsia="Times New Roman" w:hAnsi="Aptos" w:cs="Times New Roman"/>
                <w:b/>
                <w:bCs/>
                <w:color w:val="000000"/>
                <w:sz w:val="20"/>
                <w:szCs w:val="20"/>
                <w:lang w:eastAsia="it-IT"/>
              </w:rPr>
            </w:pPr>
            <w:r w:rsidRPr="002A474B">
              <w:rPr>
                <w:rFonts w:ascii="Aptos" w:eastAsia="Times New Roman" w:hAnsi="Aptos" w:cs="Times New Roman"/>
                <w:b/>
                <w:bCs/>
                <w:color w:val="000000"/>
                <w:sz w:val="20"/>
                <w:szCs w:val="20"/>
                <w:lang w:eastAsia="it-IT"/>
              </w:rPr>
              <w:t>Voci</w:t>
            </w:r>
          </w:p>
        </w:tc>
        <w:tc>
          <w:tcPr>
            <w:tcW w:w="2728" w:type="dxa"/>
            <w:gridSpan w:val="2"/>
            <w:tcBorders>
              <w:top w:val="single" w:sz="4" w:space="0" w:color="auto"/>
              <w:left w:val="nil"/>
              <w:bottom w:val="single" w:sz="4" w:space="0" w:color="auto"/>
              <w:right w:val="single" w:sz="4" w:space="0" w:color="000000"/>
            </w:tcBorders>
            <w:noWrap/>
            <w:vAlign w:val="center"/>
            <w:hideMark/>
          </w:tcPr>
          <w:p w14:paraId="4C42CBE7"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Valori assoluti</w:t>
            </w:r>
          </w:p>
        </w:tc>
        <w:tc>
          <w:tcPr>
            <w:tcW w:w="2250" w:type="dxa"/>
            <w:gridSpan w:val="2"/>
            <w:tcBorders>
              <w:top w:val="single" w:sz="4" w:space="0" w:color="auto"/>
              <w:left w:val="nil"/>
              <w:bottom w:val="single" w:sz="4" w:space="0" w:color="auto"/>
              <w:right w:val="single" w:sz="4" w:space="0" w:color="000000"/>
            </w:tcBorders>
            <w:noWrap/>
            <w:vAlign w:val="center"/>
            <w:hideMark/>
          </w:tcPr>
          <w:p w14:paraId="39952945"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 composizione Core</w:t>
            </w:r>
          </w:p>
        </w:tc>
        <w:tc>
          <w:tcPr>
            <w:tcW w:w="2692" w:type="dxa"/>
            <w:gridSpan w:val="2"/>
            <w:tcBorders>
              <w:top w:val="single" w:sz="4" w:space="0" w:color="auto"/>
              <w:left w:val="nil"/>
              <w:bottom w:val="single" w:sz="4" w:space="0" w:color="auto"/>
              <w:right w:val="single" w:sz="4" w:space="0" w:color="000000"/>
            </w:tcBorders>
            <w:noWrap/>
            <w:vAlign w:val="center"/>
            <w:hideMark/>
          </w:tcPr>
          <w:p w14:paraId="2A5D196E" w14:textId="77777777" w:rsidR="001D7E37" w:rsidRPr="002A474B" w:rsidRDefault="001D7E37" w:rsidP="009F3867">
            <w:pPr>
              <w:spacing w:after="0" w:line="240" w:lineRule="auto"/>
              <w:jc w:val="center"/>
              <w:rPr>
                <w:rFonts w:ascii="Aptos Narrow" w:eastAsia="Times New Roman" w:hAnsi="Aptos Narrow" w:cs="Times New Roman"/>
                <w:color w:val="000000"/>
                <w:lang w:eastAsia="it-IT"/>
              </w:rPr>
            </w:pPr>
            <w:r w:rsidRPr="002A474B">
              <w:rPr>
                <w:rFonts w:ascii="Aptos Narrow" w:eastAsia="Times New Roman" w:hAnsi="Aptos Narrow" w:cs="Times New Roman"/>
                <w:color w:val="000000"/>
                <w:lang w:eastAsia="it-IT"/>
              </w:rPr>
              <w:t>% su totale economia</w:t>
            </w:r>
          </w:p>
        </w:tc>
      </w:tr>
      <w:tr w:rsidR="001D7E37" w:rsidRPr="002A474B" w14:paraId="0DED6B95" w14:textId="77777777" w:rsidTr="009F3867">
        <w:trPr>
          <w:trHeight w:val="803"/>
        </w:trPr>
        <w:tc>
          <w:tcPr>
            <w:tcW w:w="2263" w:type="dxa"/>
            <w:vMerge/>
            <w:tcBorders>
              <w:top w:val="single" w:sz="4" w:space="0" w:color="auto"/>
              <w:left w:val="single" w:sz="4" w:space="0" w:color="auto"/>
              <w:bottom w:val="single" w:sz="4" w:space="0" w:color="000000"/>
              <w:right w:val="single" w:sz="4" w:space="0" w:color="auto"/>
            </w:tcBorders>
            <w:vAlign w:val="center"/>
            <w:hideMark/>
          </w:tcPr>
          <w:p w14:paraId="711C78E3" w14:textId="77777777" w:rsidR="001D7E37" w:rsidRPr="002A474B" w:rsidRDefault="001D7E37" w:rsidP="009F3867">
            <w:pPr>
              <w:spacing w:after="0" w:line="240" w:lineRule="auto"/>
              <w:rPr>
                <w:rFonts w:ascii="Aptos" w:eastAsia="Times New Roman" w:hAnsi="Aptos" w:cs="Times New Roman"/>
                <w:b/>
                <w:bCs/>
                <w:color w:val="000000"/>
                <w:sz w:val="20"/>
                <w:szCs w:val="20"/>
                <w:lang w:eastAsia="it-IT"/>
              </w:rPr>
            </w:pPr>
          </w:p>
        </w:tc>
        <w:tc>
          <w:tcPr>
            <w:tcW w:w="1440" w:type="dxa"/>
            <w:tcBorders>
              <w:top w:val="nil"/>
              <w:left w:val="nil"/>
              <w:bottom w:val="single" w:sz="4" w:space="0" w:color="auto"/>
              <w:right w:val="single" w:sz="4" w:space="0" w:color="auto"/>
            </w:tcBorders>
            <w:vAlign w:val="center"/>
            <w:hideMark/>
          </w:tcPr>
          <w:p w14:paraId="6C56A2A9"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 (mil.rdi di euro)</w:t>
            </w:r>
          </w:p>
        </w:tc>
        <w:tc>
          <w:tcPr>
            <w:tcW w:w="1288" w:type="dxa"/>
            <w:tcBorders>
              <w:top w:val="nil"/>
              <w:left w:val="nil"/>
              <w:bottom w:val="single" w:sz="4" w:space="0" w:color="auto"/>
              <w:right w:val="single" w:sz="4" w:space="0" w:color="auto"/>
            </w:tcBorders>
            <w:vAlign w:val="center"/>
            <w:hideMark/>
          </w:tcPr>
          <w:p w14:paraId="52AB1385"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 (unità)</w:t>
            </w:r>
          </w:p>
        </w:tc>
        <w:tc>
          <w:tcPr>
            <w:tcW w:w="958" w:type="dxa"/>
            <w:tcBorders>
              <w:top w:val="nil"/>
              <w:left w:val="nil"/>
              <w:bottom w:val="single" w:sz="4" w:space="0" w:color="auto"/>
              <w:right w:val="single" w:sz="4" w:space="0" w:color="auto"/>
            </w:tcBorders>
            <w:noWrap/>
            <w:vAlign w:val="center"/>
            <w:hideMark/>
          </w:tcPr>
          <w:p w14:paraId="0818C557"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w:t>
            </w:r>
          </w:p>
        </w:tc>
        <w:tc>
          <w:tcPr>
            <w:tcW w:w="1288" w:type="dxa"/>
            <w:tcBorders>
              <w:top w:val="nil"/>
              <w:left w:val="nil"/>
              <w:bottom w:val="single" w:sz="4" w:space="0" w:color="auto"/>
              <w:right w:val="single" w:sz="4" w:space="0" w:color="auto"/>
            </w:tcBorders>
            <w:noWrap/>
            <w:vAlign w:val="center"/>
            <w:hideMark/>
          </w:tcPr>
          <w:p w14:paraId="39573CEC"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w:t>
            </w:r>
          </w:p>
        </w:tc>
        <w:tc>
          <w:tcPr>
            <w:tcW w:w="1404" w:type="dxa"/>
            <w:tcBorders>
              <w:top w:val="nil"/>
              <w:left w:val="nil"/>
              <w:bottom w:val="single" w:sz="4" w:space="0" w:color="auto"/>
              <w:right w:val="single" w:sz="4" w:space="0" w:color="auto"/>
            </w:tcBorders>
            <w:noWrap/>
            <w:vAlign w:val="center"/>
            <w:hideMark/>
          </w:tcPr>
          <w:p w14:paraId="62C90AEA"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Valore aggiunto</w:t>
            </w:r>
          </w:p>
        </w:tc>
        <w:tc>
          <w:tcPr>
            <w:tcW w:w="1288" w:type="dxa"/>
            <w:tcBorders>
              <w:top w:val="nil"/>
              <w:left w:val="nil"/>
              <w:bottom w:val="single" w:sz="4" w:space="0" w:color="auto"/>
              <w:right w:val="single" w:sz="4" w:space="0" w:color="auto"/>
            </w:tcBorders>
            <w:noWrap/>
            <w:vAlign w:val="center"/>
            <w:hideMark/>
          </w:tcPr>
          <w:p w14:paraId="55B4A366" w14:textId="77777777" w:rsidR="001D7E37" w:rsidRPr="002A474B" w:rsidRDefault="001D7E37" w:rsidP="009F3867">
            <w:pPr>
              <w:spacing w:after="0" w:line="240" w:lineRule="auto"/>
              <w:jc w:val="center"/>
              <w:rPr>
                <w:rFonts w:ascii="Aptos" w:eastAsia="Times New Roman" w:hAnsi="Aptos" w:cs="Times New Roman"/>
                <w:color w:val="000000"/>
                <w:sz w:val="20"/>
                <w:szCs w:val="20"/>
                <w:lang w:eastAsia="it-IT"/>
              </w:rPr>
            </w:pPr>
            <w:r w:rsidRPr="002A474B">
              <w:rPr>
                <w:rFonts w:ascii="Aptos" w:eastAsia="Times New Roman" w:hAnsi="Aptos" w:cs="Times New Roman"/>
                <w:color w:val="000000"/>
                <w:sz w:val="20"/>
                <w:szCs w:val="20"/>
                <w:lang w:eastAsia="it-IT"/>
              </w:rPr>
              <w:t>Occupazione</w:t>
            </w:r>
          </w:p>
        </w:tc>
      </w:tr>
      <w:tr w:rsidR="001D7E37" w:rsidRPr="002A474B" w14:paraId="656A5DBB"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6844D957" w14:textId="08066DE9"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Archi</w:t>
            </w:r>
            <w:r w:rsidR="00EE3E32">
              <w:rPr>
                <w:rFonts w:ascii="Aptos" w:eastAsia="Times New Roman" w:hAnsi="Aptos" w:cs="Times New Roman"/>
                <w:color w:val="000000"/>
                <w:sz w:val="18"/>
                <w:szCs w:val="18"/>
                <w:lang w:eastAsia="it-IT"/>
              </w:rPr>
              <w:t>t</w:t>
            </w:r>
            <w:r w:rsidRPr="002A474B">
              <w:rPr>
                <w:rFonts w:ascii="Aptos" w:eastAsia="Times New Roman" w:hAnsi="Aptos" w:cs="Times New Roman"/>
                <w:color w:val="000000"/>
                <w:sz w:val="18"/>
                <w:szCs w:val="18"/>
                <w:lang w:eastAsia="it-IT"/>
              </w:rPr>
              <w:t>ettura e design</w:t>
            </w:r>
          </w:p>
        </w:tc>
        <w:tc>
          <w:tcPr>
            <w:tcW w:w="1440" w:type="dxa"/>
            <w:tcBorders>
              <w:top w:val="nil"/>
              <w:left w:val="nil"/>
              <w:bottom w:val="nil"/>
              <w:right w:val="single" w:sz="4" w:space="0" w:color="auto"/>
            </w:tcBorders>
            <w:noWrap/>
            <w:vAlign w:val="center"/>
            <w:hideMark/>
          </w:tcPr>
          <w:p w14:paraId="3452D0D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11,2</w:t>
            </w:r>
          </w:p>
        </w:tc>
        <w:tc>
          <w:tcPr>
            <w:tcW w:w="1288" w:type="dxa"/>
            <w:tcBorders>
              <w:top w:val="nil"/>
              <w:left w:val="nil"/>
              <w:bottom w:val="nil"/>
              <w:right w:val="single" w:sz="4" w:space="0" w:color="auto"/>
            </w:tcBorders>
            <w:noWrap/>
            <w:vAlign w:val="center"/>
            <w:hideMark/>
          </w:tcPr>
          <w:p w14:paraId="6823D4E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148.930</w:t>
            </w:r>
          </w:p>
        </w:tc>
        <w:tc>
          <w:tcPr>
            <w:tcW w:w="958" w:type="dxa"/>
            <w:tcBorders>
              <w:top w:val="nil"/>
              <w:left w:val="nil"/>
              <w:bottom w:val="nil"/>
              <w:right w:val="nil"/>
            </w:tcBorders>
            <w:noWrap/>
            <w:vAlign w:val="center"/>
            <w:hideMark/>
          </w:tcPr>
          <w:p w14:paraId="41AC60B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16,8</w:t>
            </w:r>
          </w:p>
        </w:tc>
        <w:tc>
          <w:tcPr>
            <w:tcW w:w="1288" w:type="dxa"/>
            <w:tcBorders>
              <w:top w:val="nil"/>
              <w:left w:val="nil"/>
              <w:bottom w:val="nil"/>
              <w:right w:val="nil"/>
            </w:tcBorders>
            <w:noWrap/>
            <w:vAlign w:val="center"/>
            <w:hideMark/>
          </w:tcPr>
          <w:p w14:paraId="0D0807E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16,3</w:t>
            </w:r>
          </w:p>
        </w:tc>
        <w:tc>
          <w:tcPr>
            <w:tcW w:w="1404" w:type="dxa"/>
            <w:tcBorders>
              <w:top w:val="nil"/>
              <w:left w:val="single" w:sz="4" w:space="0" w:color="auto"/>
              <w:bottom w:val="nil"/>
              <w:right w:val="single" w:sz="4" w:space="0" w:color="auto"/>
            </w:tcBorders>
            <w:noWrap/>
            <w:vAlign w:val="center"/>
            <w:hideMark/>
          </w:tcPr>
          <w:p w14:paraId="0825041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c>
          <w:tcPr>
            <w:tcW w:w="1288" w:type="dxa"/>
            <w:tcBorders>
              <w:top w:val="nil"/>
              <w:left w:val="nil"/>
              <w:bottom w:val="nil"/>
              <w:right w:val="single" w:sz="4" w:space="0" w:color="auto"/>
            </w:tcBorders>
            <w:noWrap/>
            <w:vAlign w:val="center"/>
            <w:hideMark/>
          </w:tcPr>
          <w:p w14:paraId="0F19A20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r>
      <w:tr w:rsidR="001D7E37" w:rsidRPr="002A474B" w14:paraId="0A01615F"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3C9AB1B1"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Comunicazione</w:t>
            </w:r>
          </w:p>
        </w:tc>
        <w:tc>
          <w:tcPr>
            <w:tcW w:w="1440" w:type="dxa"/>
            <w:tcBorders>
              <w:top w:val="nil"/>
              <w:left w:val="nil"/>
              <w:bottom w:val="nil"/>
              <w:right w:val="single" w:sz="4" w:space="0" w:color="auto"/>
            </w:tcBorders>
            <w:noWrap/>
            <w:vAlign w:val="center"/>
            <w:hideMark/>
          </w:tcPr>
          <w:p w14:paraId="159F963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7,2</w:t>
            </w:r>
          </w:p>
        </w:tc>
        <w:tc>
          <w:tcPr>
            <w:tcW w:w="1288" w:type="dxa"/>
            <w:tcBorders>
              <w:top w:val="nil"/>
              <w:left w:val="nil"/>
              <w:bottom w:val="nil"/>
              <w:right w:val="single" w:sz="4" w:space="0" w:color="auto"/>
            </w:tcBorders>
            <w:noWrap/>
            <w:vAlign w:val="center"/>
            <w:hideMark/>
          </w:tcPr>
          <w:p w14:paraId="2652775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130.559</w:t>
            </w:r>
          </w:p>
        </w:tc>
        <w:tc>
          <w:tcPr>
            <w:tcW w:w="958" w:type="dxa"/>
            <w:tcBorders>
              <w:top w:val="nil"/>
              <w:left w:val="nil"/>
              <w:bottom w:val="nil"/>
              <w:right w:val="nil"/>
            </w:tcBorders>
            <w:noWrap/>
            <w:vAlign w:val="center"/>
            <w:hideMark/>
          </w:tcPr>
          <w:p w14:paraId="44B87F9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10,8</w:t>
            </w:r>
          </w:p>
        </w:tc>
        <w:tc>
          <w:tcPr>
            <w:tcW w:w="1288" w:type="dxa"/>
            <w:tcBorders>
              <w:top w:val="nil"/>
              <w:left w:val="nil"/>
              <w:bottom w:val="nil"/>
              <w:right w:val="nil"/>
            </w:tcBorders>
            <w:noWrap/>
            <w:vAlign w:val="center"/>
            <w:hideMark/>
          </w:tcPr>
          <w:p w14:paraId="7503DF4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14,3</w:t>
            </w:r>
          </w:p>
        </w:tc>
        <w:tc>
          <w:tcPr>
            <w:tcW w:w="1404" w:type="dxa"/>
            <w:tcBorders>
              <w:top w:val="nil"/>
              <w:left w:val="single" w:sz="4" w:space="0" w:color="auto"/>
              <w:bottom w:val="nil"/>
              <w:right w:val="single" w:sz="4" w:space="0" w:color="auto"/>
            </w:tcBorders>
            <w:noWrap/>
            <w:vAlign w:val="center"/>
            <w:hideMark/>
          </w:tcPr>
          <w:p w14:paraId="3098B62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c>
          <w:tcPr>
            <w:tcW w:w="1288" w:type="dxa"/>
            <w:tcBorders>
              <w:top w:val="nil"/>
              <w:left w:val="nil"/>
              <w:bottom w:val="nil"/>
              <w:right w:val="single" w:sz="4" w:space="0" w:color="auto"/>
            </w:tcBorders>
            <w:noWrap/>
            <w:vAlign w:val="center"/>
            <w:hideMark/>
          </w:tcPr>
          <w:p w14:paraId="6D91B60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0,5</w:t>
            </w:r>
          </w:p>
        </w:tc>
      </w:tr>
      <w:tr w:rsidR="001D7E37" w:rsidRPr="002A474B" w14:paraId="2395B6FA"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720134C7"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Audiovisivo e musica</w:t>
            </w:r>
          </w:p>
        </w:tc>
        <w:tc>
          <w:tcPr>
            <w:tcW w:w="1440" w:type="dxa"/>
            <w:tcBorders>
              <w:top w:val="nil"/>
              <w:left w:val="nil"/>
              <w:bottom w:val="nil"/>
              <w:right w:val="single" w:sz="4" w:space="0" w:color="auto"/>
            </w:tcBorders>
            <w:noWrap/>
            <w:vAlign w:val="center"/>
            <w:hideMark/>
          </w:tcPr>
          <w:p w14:paraId="3352AA22"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7,6</w:t>
            </w:r>
          </w:p>
        </w:tc>
        <w:tc>
          <w:tcPr>
            <w:tcW w:w="1288" w:type="dxa"/>
            <w:tcBorders>
              <w:top w:val="nil"/>
              <w:left w:val="nil"/>
              <w:bottom w:val="nil"/>
              <w:right w:val="single" w:sz="4" w:space="0" w:color="auto"/>
            </w:tcBorders>
            <w:noWrap/>
            <w:vAlign w:val="center"/>
            <w:hideMark/>
          </w:tcPr>
          <w:p w14:paraId="0555AD4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62.456</w:t>
            </w:r>
          </w:p>
        </w:tc>
        <w:tc>
          <w:tcPr>
            <w:tcW w:w="958" w:type="dxa"/>
            <w:tcBorders>
              <w:top w:val="nil"/>
              <w:left w:val="nil"/>
              <w:bottom w:val="nil"/>
              <w:right w:val="nil"/>
            </w:tcBorders>
            <w:noWrap/>
            <w:vAlign w:val="center"/>
            <w:hideMark/>
          </w:tcPr>
          <w:p w14:paraId="42E6195F"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11,4</w:t>
            </w:r>
          </w:p>
        </w:tc>
        <w:tc>
          <w:tcPr>
            <w:tcW w:w="1288" w:type="dxa"/>
            <w:tcBorders>
              <w:top w:val="nil"/>
              <w:left w:val="nil"/>
              <w:bottom w:val="nil"/>
              <w:right w:val="nil"/>
            </w:tcBorders>
            <w:noWrap/>
            <w:vAlign w:val="center"/>
            <w:hideMark/>
          </w:tcPr>
          <w:p w14:paraId="1068266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6,8</w:t>
            </w:r>
          </w:p>
        </w:tc>
        <w:tc>
          <w:tcPr>
            <w:tcW w:w="1404" w:type="dxa"/>
            <w:tcBorders>
              <w:top w:val="nil"/>
              <w:left w:val="single" w:sz="4" w:space="0" w:color="auto"/>
              <w:bottom w:val="nil"/>
              <w:right w:val="single" w:sz="4" w:space="0" w:color="auto"/>
            </w:tcBorders>
            <w:noWrap/>
            <w:vAlign w:val="center"/>
            <w:hideMark/>
          </w:tcPr>
          <w:p w14:paraId="069635E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c>
          <w:tcPr>
            <w:tcW w:w="1288" w:type="dxa"/>
            <w:tcBorders>
              <w:top w:val="nil"/>
              <w:left w:val="nil"/>
              <w:bottom w:val="nil"/>
              <w:right w:val="single" w:sz="4" w:space="0" w:color="auto"/>
            </w:tcBorders>
            <w:noWrap/>
            <w:vAlign w:val="center"/>
            <w:hideMark/>
          </w:tcPr>
          <w:p w14:paraId="4B9EBBC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r>
      <w:tr w:rsidR="001D7E37" w:rsidRPr="002A474B" w14:paraId="2D184ED3"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419962D2" w14:textId="7466F462"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Software e videogiochi</w:t>
            </w:r>
          </w:p>
        </w:tc>
        <w:tc>
          <w:tcPr>
            <w:tcW w:w="1440" w:type="dxa"/>
            <w:tcBorders>
              <w:top w:val="nil"/>
              <w:left w:val="nil"/>
              <w:bottom w:val="nil"/>
              <w:right w:val="single" w:sz="4" w:space="0" w:color="auto"/>
            </w:tcBorders>
            <w:noWrap/>
            <w:vAlign w:val="center"/>
            <w:hideMark/>
          </w:tcPr>
          <w:p w14:paraId="3470EF8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18,6</w:t>
            </w:r>
          </w:p>
        </w:tc>
        <w:tc>
          <w:tcPr>
            <w:tcW w:w="1288" w:type="dxa"/>
            <w:tcBorders>
              <w:top w:val="nil"/>
              <w:left w:val="nil"/>
              <w:bottom w:val="nil"/>
              <w:right w:val="single" w:sz="4" w:space="0" w:color="auto"/>
            </w:tcBorders>
            <w:noWrap/>
            <w:vAlign w:val="center"/>
            <w:hideMark/>
          </w:tcPr>
          <w:p w14:paraId="6BA0D9D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206.741</w:t>
            </w:r>
          </w:p>
        </w:tc>
        <w:tc>
          <w:tcPr>
            <w:tcW w:w="958" w:type="dxa"/>
            <w:tcBorders>
              <w:top w:val="nil"/>
              <w:left w:val="nil"/>
              <w:bottom w:val="nil"/>
              <w:right w:val="nil"/>
            </w:tcBorders>
            <w:noWrap/>
            <w:vAlign w:val="center"/>
            <w:hideMark/>
          </w:tcPr>
          <w:p w14:paraId="14D1ECD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27,8</w:t>
            </w:r>
          </w:p>
        </w:tc>
        <w:tc>
          <w:tcPr>
            <w:tcW w:w="1288" w:type="dxa"/>
            <w:tcBorders>
              <w:top w:val="nil"/>
              <w:left w:val="nil"/>
              <w:bottom w:val="nil"/>
              <w:right w:val="nil"/>
            </w:tcBorders>
            <w:noWrap/>
            <w:vAlign w:val="center"/>
            <w:hideMark/>
          </w:tcPr>
          <w:p w14:paraId="5478B98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22,6</w:t>
            </w:r>
          </w:p>
        </w:tc>
        <w:tc>
          <w:tcPr>
            <w:tcW w:w="1404" w:type="dxa"/>
            <w:tcBorders>
              <w:top w:val="nil"/>
              <w:left w:val="single" w:sz="4" w:space="0" w:color="auto"/>
              <w:bottom w:val="nil"/>
              <w:right w:val="single" w:sz="4" w:space="0" w:color="auto"/>
            </w:tcBorders>
            <w:noWrap/>
            <w:vAlign w:val="center"/>
            <w:hideMark/>
          </w:tcPr>
          <w:p w14:paraId="3671F7F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0,9</w:t>
            </w:r>
          </w:p>
        </w:tc>
        <w:tc>
          <w:tcPr>
            <w:tcW w:w="1288" w:type="dxa"/>
            <w:tcBorders>
              <w:top w:val="nil"/>
              <w:left w:val="nil"/>
              <w:bottom w:val="nil"/>
              <w:right w:val="single" w:sz="4" w:space="0" w:color="auto"/>
            </w:tcBorders>
            <w:noWrap/>
            <w:vAlign w:val="center"/>
            <w:hideMark/>
          </w:tcPr>
          <w:p w14:paraId="4D436220"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0,8</w:t>
            </w:r>
          </w:p>
        </w:tc>
      </w:tr>
      <w:tr w:rsidR="001D7E37" w:rsidRPr="002A474B" w14:paraId="3B9A1AD2"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1894CF65"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Editoria e stampa</w:t>
            </w:r>
          </w:p>
        </w:tc>
        <w:tc>
          <w:tcPr>
            <w:tcW w:w="1440" w:type="dxa"/>
            <w:tcBorders>
              <w:top w:val="nil"/>
              <w:left w:val="nil"/>
              <w:bottom w:val="nil"/>
              <w:right w:val="single" w:sz="4" w:space="0" w:color="auto"/>
            </w:tcBorders>
            <w:noWrap/>
            <w:vAlign w:val="center"/>
            <w:hideMark/>
          </w:tcPr>
          <w:p w14:paraId="1FE507E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11,5</w:t>
            </w:r>
          </w:p>
        </w:tc>
        <w:tc>
          <w:tcPr>
            <w:tcW w:w="1288" w:type="dxa"/>
            <w:tcBorders>
              <w:top w:val="nil"/>
              <w:left w:val="nil"/>
              <w:bottom w:val="nil"/>
              <w:right w:val="single" w:sz="4" w:space="0" w:color="auto"/>
            </w:tcBorders>
            <w:noWrap/>
            <w:vAlign w:val="center"/>
            <w:hideMark/>
          </w:tcPr>
          <w:p w14:paraId="306CAA7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191.842</w:t>
            </w:r>
          </w:p>
        </w:tc>
        <w:tc>
          <w:tcPr>
            <w:tcW w:w="958" w:type="dxa"/>
            <w:tcBorders>
              <w:top w:val="nil"/>
              <w:left w:val="nil"/>
              <w:bottom w:val="nil"/>
              <w:right w:val="nil"/>
            </w:tcBorders>
            <w:noWrap/>
            <w:vAlign w:val="center"/>
            <w:hideMark/>
          </w:tcPr>
          <w:p w14:paraId="53D5767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17,3</w:t>
            </w:r>
          </w:p>
        </w:tc>
        <w:tc>
          <w:tcPr>
            <w:tcW w:w="1288" w:type="dxa"/>
            <w:tcBorders>
              <w:top w:val="nil"/>
              <w:left w:val="nil"/>
              <w:bottom w:val="nil"/>
              <w:right w:val="nil"/>
            </w:tcBorders>
            <w:noWrap/>
            <w:vAlign w:val="center"/>
            <w:hideMark/>
          </w:tcPr>
          <w:p w14:paraId="3F2FADF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21,0</w:t>
            </w:r>
          </w:p>
        </w:tc>
        <w:tc>
          <w:tcPr>
            <w:tcW w:w="1404" w:type="dxa"/>
            <w:tcBorders>
              <w:top w:val="nil"/>
              <w:left w:val="single" w:sz="4" w:space="0" w:color="auto"/>
              <w:bottom w:val="nil"/>
              <w:right w:val="single" w:sz="4" w:space="0" w:color="auto"/>
            </w:tcBorders>
            <w:noWrap/>
            <w:vAlign w:val="center"/>
            <w:hideMark/>
          </w:tcPr>
          <w:p w14:paraId="2332CA8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0,6</w:t>
            </w:r>
          </w:p>
        </w:tc>
        <w:tc>
          <w:tcPr>
            <w:tcW w:w="1288" w:type="dxa"/>
            <w:tcBorders>
              <w:top w:val="nil"/>
              <w:left w:val="nil"/>
              <w:bottom w:val="nil"/>
              <w:right w:val="single" w:sz="4" w:space="0" w:color="auto"/>
            </w:tcBorders>
            <w:noWrap/>
            <w:vAlign w:val="center"/>
            <w:hideMark/>
          </w:tcPr>
          <w:p w14:paraId="6E90946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0,7</w:t>
            </w:r>
          </w:p>
        </w:tc>
      </w:tr>
      <w:tr w:rsidR="001D7E37" w:rsidRPr="002A474B" w14:paraId="2703AE3B"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2203B73E"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Performing arts e arti visive</w:t>
            </w:r>
          </w:p>
        </w:tc>
        <w:tc>
          <w:tcPr>
            <w:tcW w:w="1440" w:type="dxa"/>
            <w:tcBorders>
              <w:top w:val="nil"/>
              <w:left w:val="nil"/>
              <w:bottom w:val="nil"/>
              <w:right w:val="single" w:sz="4" w:space="0" w:color="auto"/>
            </w:tcBorders>
            <w:noWrap/>
            <w:vAlign w:val="center"/>
            <w:hideMark/>
          </w:tcPr>
          <w:p w14:paraId="03998DE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6,7</w:t>
            </w:r>
          </w:p>
        </w:tc>
        <w:tc>
          <w:tcPr>
            <w:tcW w:w="1288" w:type="dxa"/>
            <w:tcBorders>
              <w:top w:val="nil"/>
              <w:left w:val="nil"/>
              <w:bottom w:val="nil"/>
              <w:right w:val="single" w:sz="4" w:space="0" w:color="auto"/>
            </w:tcBorders>
            <w:noWrap/>
            <w:vAlign w:val="center"/>
            <w:hideMark/>
          </w:tcPr>
          <w:p w14:paraId="34E5C29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110.347</w:t>
            </w:r>
          </w:p>
        </w:tc>
        <w:tc>
          <w:tcPr>
            <w:tcW w:w="958" w:type="dxa"/>
            <w:tcBorders>
              <w:top w:val="nil"/>
              <w:left w:val="nil"/>
              <w:bottom w:val="nil"/>
              <w:right w:val="nil"/>
            </w:tcBorders>
            <w:noWrap/>
            <w:vAlign w:val="center"/>
            <w:hideMark/>
          </w:tcPr>
          <w:p w14:paraId="6D66F55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10,1</w:t>
            </w:r>
          </w:p>
        </w:tc>
        <w:tc>
          <w:tcPr>
            <w:tcW w:w="1288" w:type="dxa"/>
            <w:tcBorders>
              <w:top w:val="nil"/>
              <w:left w:val="nil"/>
              <w:bottom w:val="nil"/>
              <w:right w:val="nil"/>
            </w:tcBorders>
            <w:noWrap/>
            <w:vAlign w:val="center"/>
            <w:hideMark/>
          </w:tcPr>
          <w:p w14:paraId="21E0012D"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12,1</w:t>
            </w:r>
          </w:p>
        </w:tc>
        <w:tc>
          <w:tcPr>
            <w:tcW w:w="1404" w:type="dxa"/>
            <w:tcBorders>
              <w:top w:val="nil"/>
              <w:left w:val="single" w:sz="4" w:space="0" w:color="auto"/>
              <w:bottom w:val="nil"/>
              <w:right w:val="single" w:sz="4" w:space="0" w:color="auto"/>
            </w:tcBorders>
            <w:noWrap/>
            <w:vAlign w:val="center"/>
            <w:hideMark/>
          </w:tcPr>
          <w:p w14:paraId="2999CFB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0,3</w:t>
            </w:r>
          </w:p>
        </w:tc>
        <w:tc>
          <w:tcPr>
            <w:tcW w:w="1288" w:type="dxa"/>
            <w:tcBorders>
              <w:top w:val="nil"/>
              <w:left w:val="nil"/>
              <w:bottom w:val="nil"/>
              <w:right w:val="single" w:sz="4" w:space="0" w:color="auto"/>
            </w:tcBorders>
            <w:noWrap/>
            <w:vAlign w:val="center"/>
            <w:hideMark/>
          </w:tcPr>
          <w:p w14:paraId="0CC2C4C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0,4</w:t>
            </w:r>
          </w:p>
        </w:tc>
      </w:tr>
      <w:tr w:rsidR="001D7E37" w:rsidRPr="002A474B" w14:paraId="64BE7466" w14:textId="77777777" w:rsidTr="009F3867">
        <w:trPr>
          <w:trHeight w:val="278"/>
        </w:trPr>
        <w:tc>
          <w:tcPr>
            <w:tcW w:w="2263" w:type="dxa"/>
            <w:tcBorders>
              <w:top w:val="nil"/>
              <w:left w:val="single" w:sz="4" w:space="0" w:color="auto"/>
              <w:bottom w:val="single" w:sz="4" w:space="0" w:color="auto"/>
              <w:right w:val="single" w:sz="4" w:space="0" w:color="auto"/>
            </w:tcBorders>
            <w:noWrap/>
            <w:vAlign w:val="center"/>
            <w:hideMark/>
          </w:tcPr>
          <w:p w14:paraId="533FE027"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Patrimonio storico e artistico</w:t>
            </w:r>
          </w:p>
        </w:tc>
        <w:tc>
          <w:tcPr>
            <w:tcW w:w="1440" w:type="dxa"/>
            <w:tcBorders>
              <w:top w:val="nil"/>
              <w:left w:val="nil"/>
              <w:bottom w:val="single" w:sz="4" w:space="0" w:color="auto"/>
              <w:right w:val="single" w:sz="4" w:space="0" w:color="auto"/>
            </w:tcBorders>
            <w:noWrap/>
            <w:vAlign w:val="center"/>
            <w:hideMark/>
          </w:tcPr>
          <w:p w14:paraId="5487266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3,9</w:t>
            </w:r>
          </w:p>
        </w:tc>
        <w:tc>
          <w:tcPr>
            <w:tcW w:w="1288" w:type="dxa"/>
            <w:tcBorders>
              <w:top w:val="nil"/>
              <w:left w:val="nil"/>
              <w:bottom w:val="single" w:sz="4" w:space="0" w:color="auto"/>
              <w:right w:val="single" w:sz="4" w:space="0" w:color="auto"/>
            </w:tcBorders>
            <w:noWrap/>
            <w:vAlign w:val="center"/>
            <w:hideMark/>
          </w:tcPr>
          <w:p w14:paraId="5FD88538"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64.397</w:t>
            </w:r>
          </w:p>
        </w:tc>
        <w:tc>
          <w:tcPr>
            <w:tcW w:w="958" w:type="dxa"/>
            <w:tcBorders>
              <w:top w:val="nil"/>
              <w:left w:val="nil"/>
              <w:bottom w:val="nil"/>
              <w:right w:val="nil"/>
            </w:tcBorders>
            <w:noWrap/>
            <w:vAlign w:val="center"/>
            <w:hideMark/>
          </w:tcPr>
          <w:p w14:paraId="107BACB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5,8</w:t>
            </w:r>
          </w:p>
        </w:tc>
        <w:tc>
          <w:tcPr>
            <w:tcW w:w="1288" w:type="dxa"/>
            <w:tcBorders>
              <w:top w:val="nil"/>
              <w:left w:val="nil"/>
              <w:bottom w:val="nil"/>
              <w:right w:val="nil"/>
            </w:tcBorders>
            <w:noWrap/>
            <w:vAlign w:val="center"/>
            <w:hideMark/>
          </w:tcPr>
          <w:p w14:paraId="739D5CCA"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7,0</w:t>
            </w:r>
          </w:p>
        </w:tc>
        <w:tc>
          <w:tcPr>
            <w:tcW w:w="1404" w:type="dxa"/>
            <w:tcBorders>
              <w:top w:val="nil"/>
              <w:left w:val="single" w:sz="4" w:space="0" w:color="auto"/>
              <w:bottom w:val="single" w:sz="4" w:space="0" w:color="auto"/>
              <w:right w:val="single" w:sz="4" w:space="0" w:color="auto"/>
            </w:tcBorders>
            <w:noWrap/>
            <w:vAlign w:val="center"/>
            <w:hideMark/>
          </w:tcPr>
          <w:p w14:paraId="76FDA4B2"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c>
          <w:tcPr>
            <w:tcW w:w="1288" w:type="dxa"/>
            <w:tcBorders>
              <w:top w:val="nil"/>
              <w:left w:val="nil"/>
              <w:bottom w:val="single" w:sz="4" w:space="0" w:color="auto"/>
              <w:right w:val="single" w:sz="4" w:space="0" w:color="auto"/>
            </w:tcBorders>
            <w:noWrap/>
            <w:vAlign w:val="center"/>
            <w:hideMark/>
          </w:tcPr>
          <w:p w14:paraId="7BA42F7B"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0,2</w:t>
            </w:r>
          </w:p>
        </w:tc>
      </w:tr>
      <w:tr w:rsidR="001D7E37" w:rsidRPr="002A474B" w14:paraId="6D85FB88"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79844A7D"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CORE CULTURA</w:t>
            </w:r>
          </w:p>
        </w:tc>
        <w:tc>
          <w:tcPr>
            <w:tcW w:w="1440" w:type="dxa"/>
            <w:tcBorders>
              <w:top w:val="nil"/>
              <w:left w:val="nil"/>
              <w:bottom w:val="nil"/>
              <w:right w:val="single" w:sz="4" w:space="0" w:color="auto"/>
            </w:tcBorders>
            <w:noWrap/>
            <w:vAlign w:val="center"/>
            <w:hideMark/>
          </w:tcPr>
          <w:p w14:paraId="632A8AA7"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66,8</w:t>
            </w:r>
          </w:p>
        </w:tc>
        <w:tc>
          <w:tcPr>
            <w:tcW w:w="1288" w:type="dxa"/>
            <w:tcBorders>
              <w:top w:val="nil"/>
              <w:left w:val="nil"/>
              <w:bottom w:val="nil"/>
              <w:right w:val="single" w:sz="4" w:space="0" w:color="auto"/>
            </w:tcBorders>
            <w:noWrap/>
            <w:vAlign w:val="center"/>
            <w:hideMark/>
          </w:tcPr>
          <w:p w14:paraId="72162293"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915.272</w:t>
            </w:r>
          </w:p>
        </w:tc>
        <w:tc>
          <w:tcPr>
            <w:tcW w:w="958" w:type="dxa"/>
            <w:tcBorders>
              <w:top w:val="single" w:sz="4" w:space="0" w:color="auto"/>
              <w:left w:val="nil"/>
              <w:bottom w:val="nil"/>
              <w:right w:val="nil"/>
            </w:tcBorders>
            <w:noWrap/>
            <w:vAlign w:val="center"/>
            <w:hideMark/>
          </w:tcPr>
          <w:p w14:paraId="56394F8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100,0</w:t>
            </w:r>
          </w:p>
        </w:tc>
        <w:tc>
          <w:tcPr>
            <w:tcW w:w="1288" w:type="dxa"/>
            <w:tcBorders>
              <w:top w:val="single" w:sz="4" w:space="0" w:color="auto"/>
              <w:left w:val="nil"/>
              <w:bottom w:val="nil"/>
              <w:right w:val="single" w:sz="4" w:space="0" w:color="auto"/>
            </w:tcBorders>
            <w:noWrap/>
            <w:vAlign w:val="center"/>
            <w:hideMark/>
          </w:tcPr>
          <w:p w14:paraId="6FAD884C"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100,0</w:t>
            </w:r>
          </w:p>
        </w:tc>
        <w:tc>
          <w:tcPr>
            <w:tcW w:w="1404" w:type="dxa"/>
            <w:tcBorders>
              <w:top w:val="nil"/>
              <w:left w:val="nil"/>
              <w:bottom w:val="nil"/>
              <w:right w:val="single" w:sz="4" w:space="0" w:color="auto"/>
            </w:tcBorders>
            <w:noWrap/>
            <w:vAlign w:val="center"/>
            <w:hideMark/>
          </w:tcPr>
          <w:p w14:paraId="6F52AEA9"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3,3</w:t>
            </w:r>
          </w:p>
        </w:tc>
        <w:tc>
          <w:tcPr>
            <w:tcW w:w="1288" w:type="dxa"/>
            <w:tcBorders>
              <w:top w:val="nil"/>
              <w:left w:val="nil"/>
              <w:bottom w:val="nil"/>
              <w:right w:val="single" w:sz="4" w:space="0" w:color="auto"/>
            </w:tcBorders>
            <w:noWrap/>
            <w:vAlign w:val="center"/>
            <w:hideMark/>
          </w:tcPr>
          <w:p w14:paraId="52038EB1"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3,4</w:t>
            </w:r>
          </w:p>
        </w:tc>
      </w:tr>
      <w:tr w:rsidR="001D7E37" w:rsidRPr="002A474B" w14:paraId="15C9F2C4" w14:textId="77777777" w:rsidTr="009F3867">
        <w:trPr>
          <w:trHeight w:val="278"/>
        </w:trPr>
        <w:tc>
          <w:tcPr>
            <w:tcW w:w="2263" w:type="dxa"/>
            <w:tcBorders>
              <w:top w:val="nil"/>
              <w:left w:val="single" w:sz="4" w:space="0" w:color="auto"/>
              <w:bottom w:val="nil"/>
              <w:right w:val="single" w:sz="4" w:space="0" w:color="auto"/>
            </w:tcBorders>
            <w:noWrap/>
            <w:vAlign w:val="center"/>
            <w:hideMark/>
          </w:tcPr>
          <w:p w14:paraId="480F8B7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Embedded creatives</w:t>
            </w:r>
          </w:p>
        </w:tc>
        <w:tc>
          <w:tcPr>
            <w:tcW w:w="1440" w:type="dxa"/>
            <w:tcBorders>
              <w:top w:val="nil"/>
              <w:left w:val="nil"/>
              <w:bottom w:val="nil"/>
              <w:right w:val="single" w:sz="4" w:space="0" w:color="auto"/>
            </w:tcBorders>
            <w:noWrap/>
            <w:vAlign w:val="center"/>
            <w:hideMark/>
          </w:tcPr>
          <w:p w14:paraId="17652B6B"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49,0</w:t>
            </w:r>
          </w:p>
        </w:tc>
        <w:tc>
          <w:tcPr>
            <w:tcW w:w="1288" w:type="dxa"/>
            <w:tcBorders>
              <w:top w:val="nil"/>
              <w:left w:val="nil"/>
              <w:bottom w:val="nil"/>
              <w:right w:val="single" w:sz="4" w:space="0" w:color="auto"/>
            </w:tcBorders>
            <w:noWrap/>
            <w:vAlign w:val="center"/>
            <w:hideMark/>
          </w:tcPr>
          <w:p w14:paraId="1F3F78A5"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624.522</w:t>
            </w:r>
          </w:p>
        </w:tc>
        <w:tc>
          <w:tcPr>
            <w:tcW w:w="958" w:type="dxa"/>
            <w:tcBorders>
              <w:top w:val="nil"/>
              <w:left w:val="nil"/>
              <w:bottom w:val="nil"/>
              <w:right w:val="nil"/>
            </w:tcBorders>
            <w:noWrap/>
            <w:vAlign w:val="center"/>
            <w:hideMark/>
          </w:tcPr>
          <w:p w14:paraId="6104247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 </w:t>
            </w:r>
          </w:p>
        </w:tc>
        <w:tc>
          <w:tcPr>
            <w:tcW w:w="1288" w:type="dxa"/>
            <w:tcBorders>
              <w:top w:val="nil"/>
              <w:left w:val="nil"/>
              <w:bottom w:val="nil"/>
              <w:right w:val="single" w:sz="4" w:space="0" w:color="auto"/>
            </w:tcBorders>
            <w:noWrap/>
            <w:vAlign w:val="center"/>
            <w:hideMark/>
          </w:tcPr>
          <w:p w14:paraId="76F6B600" w14:textId="77777777" w:rsidR="001D7E37" w:rsidRPr="002A474B" w:rsidRDefault="001D7E37" w:rsidP="009F3867">
            <w:pPr>
              <w:spacing w:after="0" w:line="240" w:lineRule="auto"/>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 </w:t>
            </w:r>
          </w:p>
        </w:tc>
        <w:tc>
          <w:tcPr>
            <w:tcW w:w="1404" w:type="dxa"/>
            <w:tcBorders>
              <w:top w:val="nil"/>
              <w:left w:val="nil"/>
              <w:bottom w:val="nil"/>
              <w:right w:val="single" w:sz="4" w:space="0" w:color="auto"/>
            </w:tcBorders>
            <w:noWrap/>
            <w:vAlign w:val="center"/>
            <w:hideMark/>
          </w:tcPr>
          <w:p w14:paraId="71B10B9E"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2,4</w:t>
            </w:r>
          </w:p>
        </w:tc>
        <w:tc>
          <w:tcPr>
            <w:tcW w:w="1288" w:type="dxa"/>
            <w:tcBorders>
              <w:top w:val="nil"/>
              <w:left w:val="nil"/>
              <w:bottom w:val="nil"/>
              <w:right w:val="single" w:sz="4" w:space="0" w:color="auto"/>
            </w:tcBorders>
            <w:noWrap/>
            <w:vAlign w:val="center"/>
            <w:hideMark/>
          </w:tcPr>
          <w:p w14:paraId="3017A2B6" w14:textId="77777777" w:rsidR="001D7E37" w:rsidRPr="002A474B" w:rsidRDefault="001D7E37" w:rsidP="009F3867">
            <w:pPr>
              <w:spacing w:after="0" w:line="240" w:lineRule="auto"/>
              <w:jc w:val="right"/>
              <w:rPr>
                <w:rFonts w:ascii="Aptos" w:eastAsia="Times New Roman" w:hAnsi="Aptos" w:cs="Times New Roman"/>
                <w:color w:val="000000"/>
                <w:sz w:val="18"/>
                <w:szCs w:val="18"/>
                <w:lang w:eastAsia="it-IT"/>
              </w:rPr>
            </w:pPr>
            <w:r w:rsidRPr="002A474B">
              <w:rPr>
                <w:rFonts w:ascii="Aptos" w:eastAsia="Times New Roman" w:hAnsi="Aptos" w:cs="Times New Roman"/>
                <w:color w:val="000000"/>
                <w:sz w:val="18"/>
                <w:szCs w:val="18"/>
                <w:lang w:eastAsia="it-IT"/>
              </w:rPr>
              <w:t>2,3</w:t>
            </w:r>
          </w:p>
        </w:tc>
      </w:tr>
      <w:tr w:rsidR="001D7E37" w:rsidRPr="002A474B" w14:paraId="4A559D31" w14:textId="77777777" w:rsidTr="009F3867">
        <w:trPr>
          <w:trHeight w:val="278"/>
        </w:trPr>
        <w:tc>
          <w:tcPr>
            <w:tcW w:w="2263" w:type="dxa"/>
            <w:tcBorders>
              <w:top w:val="nil"/>
              <w:left w:val="single" w:sz="4" w:space="0" w:color="auto"/>
              <w:bottom w:val="single" w:sz="4" w:space="0" w:color="auto"/>
              <w:right w:val="single" w:sz="4" w:space="0" w:color="auto"/>
            </w:tcBorders>
            <w:noWrap/>
            <w:vAlign w:val="center"/>
            <w:hideMark/>
          </w:tcPr>
          <w:p w14:paraId="7F730A16"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TOTALE SPCC</w:t>
            </w:r>
          </w:p>
        </w:tc>
        <w:tc>
          <w:tcPr>
            <w:tcW w:w="1440" w:type="dxa"/>
            <w:tcBorders>
              <w:top w:val="nil"/>
              <w:left w:val="nil"/>
              <w:bottom w:val="single" w:sz="4" w:space="0" w:color="auto"/>
              <w:right w:val="single" w:sz="4" w:space="0" w:color="auto"/>
            </w:tcBorders>
            <w:noWrap/>
            <w:vAlign w:val="center"/>
            <w:hideMark/>
          </w:tcPr>
          <w:p w14:paraId="7B56F9BB"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115,8</w:t>
            </w:r>
          </w:p>
        </w:tc>
        <w:tc>
          <w:tcPr>
            <w:tcW w:w="1288" w:type="dxa"/>
            <w:tcBorders>
              <w:top w:val="nil"/>
              <w:left w:val="nil"/>
              <w:bottom w:val="single" w:sz="4" w:space="0" w:color="auto"/>
              <w:right w:val="single" w:sz="4" w:space="0" w:color="auto"/>
            </w:tcBorders>
            <w:noWrap/>
            <w:vAlign w:val="center"/>
            <w:hideMark/>
          </w:tcPr>
          <w:p w14:paraId="52B771FE"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1.539.794</w:t>
            </w:r>
          </w:p>
        </w:tc>
        <w:tc>
          <w:tcPr>
            <w:tcW w:w="958" w:type="dxa"/>
            <w:tcBorders>
              <w:top w:val="nil"/>
              <w:left w:val="nil"/>
              <w:bottom w:val="single" w:sz="4" w:space="0" w:color="auto"/>
              <w:right w:val="nil"/>
            </w:tcBorders>
            <w:noWrap/>
            <w:vAlign w:val="center"/>
            <w:hideMark/>
          </w:tcPr>
          <w:p w14:paraId="629D0F3D"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 </w:t>
            </w:r>
          </w:p>
        </w:tc>
        <w:tc>
          <w:tcPr>
            <w:tcW w:w="1288" w:type="dxa"/>
            <w:tcBorders>
              <w:top w:val="nil"/>
              <w:left w:val="nil"/>
              <w:bottom w:val="single" w:sz="4" w:space="0" w:color="auto"/>
              <w:right w:val="single" w:sz="4" w:space="0" w:color="auto"/>
            </w:tcBorders>
            <w:noWrap/>
            <w:vAlign w:val="center"/>
            <w:hideMark/>
          </w:tcPr>
          <w:p w14:paraId="3E5E7B91" w14:textId="77777777" w:rsidR="001D7E37" w:rsidRPr="002A474B" w:rsidRDefault="001D7E37" w:rsidP="009F3867">
            <w:pPr>
              <w:spacing w:after="0" w:line="240" w:lineRule="auto"/>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 </w:t>
            </w:r>
          </w:p>
        </w:tc>
        <w:tc>
          <w:tcPr>
            <w:tcW w:w="1404" w:type="dxa"/>
            <w:tcBorders>
              <w:top w:val="nil"/>
              <w:left w:val="nil"/>
              <w:bottom w:val="single" w:sz="4" w:space="0" w:color="auto"/>
              <w:right w:val="single" w:sz="4" w:space="0" w:color="auto"/>
            </w:tcBorders>
            <w:noWrap/>
            <w:vAlign w:val="center"/>
            <w:hideMark/>
          </w:tcPr>
          <w:p w14:paraId="49B72C70"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5,7</w:t>
            </w:r>
          </w:p>
        </w:tc>
        <w:tc>
          <w:tcPr>
            <w:tcW w:w="1288" w:type="dxa"/>
            <w:tcBorders>
              <w:top w:val="nil"/>
              <w:left w:val="nil"/>
              <w:bottom w:val="single" w:sz="4" w:space="0" w:color="auto"/>
              <w:right w:val="single" w:sz="4" w:space="0" w:color="auto"/>
            </w:tcBorders>
            <w:noWrap/>
            <w:vAlign w:val="center"/>
            <w:hideMark/>
          </w:tcPr>
          <w:p w14:paraId="13309876" w14:textId="77777777" w:rsidR="001D7E37" w:rsidRPr="002A474B" w:rsidRDefault="001D7E37" w:rsidP="009F3867">
            <w:pPr>
              <w:spacing w:after="0" w:line="240" w:lineRule="auto"/>
              <w:jc w:val="right"/>
              <w:rPr>
                <w:rFonts w:ascii="Aptos" w:eastAsia="Times New Roman" w:hAnsi="Aptos" w:cs="Times New Roman"/>
                <w:b/>
                <w:bCs/>
                <w:color w:val="000000"/>
                <w:sz w:val="18"/>
                <w:szCs w:val="18"/>
                <w:lang w:eastAsia="it-IT"/>
              </w:rPr>
            </w:pPr>
            <w:r w:rsidRPr="002A474B">
              <w:rPr>
                <w:rFonts w:ascii="Aptos" w:eastAsia="Times New Roman" w:hAnsi="Aptos" w:cs="Times New Roman"/>
                <w:b/>
                <w:bCs/>
                <w:color w:val="000000"/>
                <w:sz w:val="18"/>
                <w:szCs w:val="18"/>
                <w:lang w:eastAsia="it-IT"/>
              </w:rPr>
              <w:t>5,7</w:t>
            </w:r>
          </w:p>
        </w:tc>
      </w:tr>
    </w:tbl>
    <w:p w14:paraId="55316B80" w14:textId="4738D4BF" w:rsidR="00732057" w:rsidRPr="007C1145" w:rsidRDefault="00732057" w:rsidP="00732057">
      <w:pPr>
        <w:spacing w:before="60" w:after="360" w:line="240" w:lineRule="auto"/>
        <w:jc w:val="both"/>
        <w:rPr>
          <w:rFonts w:ascii="Calibri" w:eastAsia="Times New Roman" w:hAnsi="Calibri" w:cs="Calibri"/>
          <w:sz w:val="18"/>
          <w:lang w:eastAsia="it-IT"/>
        </w:rPr>
      </w:pPr>
      <w:r w:rsidRPr="007C1145">
        <w:rPr>
          <w:rFonts w:ascii="Calibri" w:eastAsia="Times New Roman" w:hAnsi="Calibri" w:cs="Calibri"/>
          <w:sz w:val="18"/>
          <w:lang w:eastAsia="it-IT"/>
        </w:rPr>
        <w:t>Fonte: Centro Studi Tagliacarne - Unioncamere, Fondazione Symbola, 2026</w:t>
      </w:r>
    </w:p>
    <w:p w14:paraId="0DE78772" w14:textId="77777777" w:rsidR="00732057" w:rsidRPr="007C1145" w:rsidRDefault="00732057" w:rsidP="00AE0241">
      <w:pPr>
        <w:spacing w:before="120" w:after="0"/>
        <w:jc w:val="both"/>
        <w:rPr>
          <w:rFonts w:eastAsia="Times New Roman" w:cstheme="minorHAnsi"/>
          <w:sz w:val="18"/>
          <w:lang w:eastAsia="it-IT"/>
        </w:rPr>
      </w:pPr>
    </w:p>
    <w:p w14:paraId="64FEF85B" w14:textId="77777777" w:rsidR="00E55912" w:rsidRDefault="00E55912" w:rsidP="00DF1D36">
      <w:pPr>
        <w:spacing w:after="360"/>
        <w:rPr>
          <w:rFonts w:ascii="Calibri" w:hAnsi="Calibri" w:cs="Calibri"/>
          <w:sz w:val="18"/>
          <w:szCs w:val="20"/>
        </w:rPr>
      </w:pPr>
    </w:p>
    <w:p w14:paraId="77D77B2D" w14:textId="77777777" w:rsidR="00E55912" w:rsidRDefault="00E55912" w:rsidP="00DF1D36">
      <w:pPr>
        <w:spacing w:after="360"/>
        <w:rPr>
          <w:rFonts w:ascii="Calibri" w:hAnsi="Calibri" w:cs="Calibri"/>
          <w:sz w:val="18"/>
          <w:szCs w:val="20"/>
        </w:rPr>
      </w:pPr>
    </w:p>
    <w:p w14:paraId="550E239A" w14:textId="77777777" w:rsidR="00E55912" w:rsidRDefault="00E55912" w:rsidP="00C911A1">
      <w:pPr>
        <w:spacing w:before="360"/>
        <w:rPr>
          <w:rFonts w:ascii="Calibri" w:hAnsi="Calibri" w:cs="Calibri"/>
          <w:b/>
        </w:rPr>
      </w:pPr>
    </w:p>
    <w:p w14:paraId="11FF2BB8" w14:textId="77777777" w:rsidR="001D6B23" w:rsidRPr="00653EC8" w:rsidRDefault="00323350" w:rsidP="00323350">
      <w:pPr>
        <w:rPr>
          <w:rFonts w:ascii="Arial" w:hAnsi="Arial" w:cs="Arial"/>
          <w:b/>
          <w:bCs/>
          <w:i/>
          <w:iCs/>
          <w:color w:val="000000" w:themeColor="text1"/>
          <w:sz w:val="16"/>
          <w:szCs w:val="16"/>
        </w:rPr>
      </w:pPr>
      <w:r w:rsidRPr="00653EC8">
        <w:rPr>
          <w:rFonts w:ascii="Arial" w:hAnsi="Arial" w:cs="Arial"/>
          <w:b/>
          <w:bCs/>
          <w:i/>
          <w:iCs/>
          <w:color w:val="000000" w:themeColor="text1"/>
          <w:sz w:val="16"/>
          <w:szCs w:val="16"/>
        </w:rPr>
        <w:t>Il rapporto completo si trova su</w:t>
      </w:r>
      <w:r w:rsidR="001D6B23" w:rsidRPr="00653EC8">
        <w:rPr>
          <w:rFonts w:ascii="Arial" w:hAnsi="Arial" w:cs="Arial"/>
          <w:b/>
          <w:bCs/>
          <w:i/>
          <w:iCs/>
          <w:color w:val="000000" w:themeColor="text1"/>
          <w:sz w:val="16"/>
          <w:szCs w:val="16"/>
        </w:rPr>
        <w:t>:</w:t>
      </w:r>
    </w:p>
    <w:p w14:paraId="30CB6477" w14:textId="2CFFE545" w:rsidR="00323350" w:rsidRPr="00653EC8" w:rsidRDefault="001D6B23" w:rsidP="00323350">
      <w:pPr>
        <w:rPr>
          <w:rFonts w:ascii="Arial" w:hAnsi="Arial" w:cs="Arial"/>
          <w:b/>
          <w:bCs/>
          <w:i/>
          <w:iCs/>
          <w:color w:val="000000" w:themeColor="text1"/>
          <w:sz w:val="16"/>
          <w:szCs w:val="16"/>
        </w:rPr>
      </w:pPr>
      <w:hyperlink r:id="rId8" w:history="1">
        <w:r w:rsidRPr="00653EC8">
          <w:rPr>
            <w:rStyle w:val="Collegamentoipertestuale"/>
            <w:rFonts w:ascii="Arial" w:hAnsi="Arial" w:cs="Arial"/>
            <w:b/>
            <w:bCs/>
            <w:i/>
            <w:iCs/>
            <w:color w:val="000000" w:themeColor="text1"/>
            <w:sz w:val="16"/>
            <w:szCs w:val="16"/>
            <w:u w:val="none"/>
          </w:rPr>
          <w:t>www.symbola.net</w:t>
        </w:r>
      </w:hyperlink>
    </w:p>
    <w:p w14:paraId="529E3A49" w14:textId="6E139E39" w:rsidR="001D6B23" w:rsidRPr="00653EC8" w:rsidRDefault="001D6B23" w:rsidP="00323350">
      <w:pPr>
        <w:rPr>
          <w:rFonts w:ascii="Arial" w:hAnsi="Arial" w:cs="Arial"/>
          <w:b/>
          <w:bCs/>
          <w:i/>
          <w:iCs/>
          <w:color w:val="000000" w:themeColor="text1"/>
          <w:sz w:val="16"/>
          <w:szCs w:val="16"/>
        </w:rPr>
      </w:pPr>
      <w:r w:rsidRPr="00653EC8">
        <w:rPr>
          <w:rFonts w:ascii="Arial" w:hAnsi="Arial" w:cs="Arial"/>
          <w:b/>
          <w:bCs/>
          <w:i/>
          <w:iCs/>
          <w:color w:val="000000" w:themeColor="text1"/>
          <w:sz w:val="16"/>
          <w:szCs w:val="16"/>
        </w:rPr>
        <w:t>www.unioncamere.gov.it</w:t>
      </w:r>
    </w:p>
    <w:p w14:paraId="13A29DE7" w14:textId="77777777" w:rsidR="002C5116" w:rsidRPr="00936C57" w:rsidRDefault="002C5116" w:rsidP="002C5116">
      <w:pPr>
        <w:pStyle w:val="Default"/>
        <w:jc w:val="both"/>
        <w:rPr>
          <w:rFonts w:asciiTheme="minorHAnsi" w:hAnsiTheme="minorHAnsi" w:cstheme="minorHAnsi"/>
          <w:b/>
          <w:bCs/>
          <w:i/>
          <w:iCs/>
          <w:color w:val="auto"/>
          <w:sz w:val="22"/>
          <w:szCs w:val="22"/>
        </w:rPr>
      </w:pPr>
    </w:p>
    <w:p w14:paraId="6090688E" w14:textId="77777777" w:rsidR="002C5116" w:rsidRPr="006F005C" w:rsidRDefault="002C5116" w:rsidP="002C5116">
      <w:pPr>
        <w:pStyle w:val="Default"/>
        <w:jc w:val="both"/>
        <w:rPr>
          <w:rFonts w:asciiTheme="minorHAnsi" w:hAnsiTheme="minorHAnsi" w:cstheme="minorHAnsi"/>
          <w:b/>
          <w:bCs/>
          <w:color w:val="auto"/>
          <w:sz w:val="22"/>
          <w:szCs w:val="22"/>
        </w:rPr>
      </w:pPr>
    </w:p>
    <w:p w14:paraId="1F07EDEC" w14:textId="77777777" w:rsidR="002C5116" w:rsidRDefault="002C5116" w:rsidP="002C5116">
      <w:pPr>
        <w:spacing w:line="240" w:lineRule="auto"/>
        <w:jc w:val="center"/>
        <w:rPr>
          <w:rFonts w:ascii="Arial" w:eastAsia="Times New Roman" w:hAnsi="Arial" w:cs="Arial"/>
          <w:b/>
          <w:bCs/>
          <w:sz w:val="18"/>
          <w:szCs w:val="18"/>
          <w:u w:val="single"/>
          <w:lang w:eastAsia="it-IT"/>
        </w:rPr>
      </w:pPr>
    </w:p>
    <w:p w14:paraId="0E3F4483" w14:textId="77777777" w:rsidR="002C5116" w:rsidRDefault="002C5116" w:rsidP="002C5116">
      <w:pPr>
        <w:spacing w:line="240" w:lineRule="auto"/>
        <w:jc w:val="center"/>
        <w:rPr>
          <w:rFonts w:ascii="Arial" w:eastAsia="Times New Roman" w:hAnsi="Arial" w:cs="Arial"/>
          <w:b/>
          <w:bCs/>
          <w:sz w:val="18"/>
          <w:szCs w:val="18"/>
          <w:u w:val="single"/>
          <w:lang w:eastAsia="it-IT"/>
        </w:rPr>
      </w:pPr>
    </w:p>
    <w:p w14:paraId="2C341DE6" w14:textId="77777777" w:rsidR="002C5116" w:rsidRDefault="002C5116" w:rsidP="002C5116"/>
    <w:p w14:paraId="1333D7E8" w14:textId="77777777" w:rsidR="002C5116" w:rsidRDefault="002C5116"/>
    <w:sectPr w:rsidR="002C5116">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EF87" w14:textId="77777777" w:rsidR="00056624" w:rsidRDefault="00056624" w:rsidP="00CE6BE8">
      <w:pPr>
        <w:spacing w:after="0" w:line="240" w:lineRule="auto"/>
      </w:pPr>
      <w:r>
        <w:separator/>
      </w:r>
    </w:p>
  </w:endnote>
  <w:endnote w:type="continuationSeparator" w:id="0">
    <w:p w14:paraId="4B66DE14" w14:textId="77777777" w:rsidR="00056624" w:rsidRDefault="00056624" w:rsidP="00CE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ercu Pro">
    <w:altName w:val="Calibri"/>
    <w:panose1 w:val="00000000000000000000"/>
    <w:charset w:val="00"/>
    <w:family w:val="swiss"/>
    <w:notTrueType/>
    <w:pitch w:val="variable"/>
    <w:sig w:usb0="000002C7" w:usb1="00000001" w:usb2="00000000" w:usb3="00000000" w:csb0="000000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ktivGrotesk-Regular">
    <w:altName w:val="Calibri"/>
    <w:panose1 w:val="00000000000000000000"/>
    <w:charset w:val="80"/>
    <w:family w:val="auto"/>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043637"/>
      <w:docPartObj>
        <w:docPartGallery w:val="Page Numbers (Bottom of Page)"/>
        <w:docPartUnique/>
      </w:docPartObj>
    </w:sdtPr>
    <w:sdtContent>
      <w:p w14:paraId="042745C3" w14:textId="370B1A81" w:rsidR="00CC0028" w:rsidRDefault="006F5570" w:rsidP="008C176C">
        <w:pPr>
          <w:pStyle w:val="Pidipagina"/>
          <w:jc w:val="right"/>
        </w:pPr>
        <w:r>
          <w:fldChar w:fldCharType="begin"/>
        </w:r>
        <w:r>
          <w:instrText>PAGE   \* MERGEFORMAT</w:instrText>
        </w:r>
        <w:r>
          <w:fldChar w:fldCharType="separate"/>
        </w:r>
        <w:r>
          <w:t>2</w:t>
        </w:r>
        <w:r>
          <w:fldChar w:fldCharType="end"/>
        </w:r>
      </w:p>
      <w:p w14:paraId="548DD269" w14:textId="003C21BA" w:rsidR="006F5570" w:rsidRDefault="00471906">
        <w:pPr>
          <w:pStyle w:val="Pidipagina"/>
          <w:jc w:val="right"/>
        </w:pPr>
        <w:r>
          <w:rPr>
            <w:noProof/>
          </w:rPr>
          <w:drawing>
            <wp:anchor distT="0" distB="0" distL="114300" distR="114300" simplePos="0" relativeHeight="251661312" behindDoc="0" locked="0" layoutInCell="1" allowOverlap="1" wp14:anchorId="23F56FC9" wp14:editId="03CEFA50">
              <wp:simplePos x="0" y="0"/>
              <wp:positionH relativeFrom="margin">
                <wp:posOffset>-12783</wp:posOffset>
              </wp:positionH>
              <wp:positionV relativeFrom="paragraph">
                <wp:posOffset>106333</wp:posOffset>
              </wp:positionV>
              <wp:extent cx="6141168" cy="758884"/>
              <wp:effectExtent l="0" t="0" r="0" b="3175"/>
              <wp:wrapNone/>
              <wp:docPr id="183979355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93551" name="Immagine 1839793551"/>
                      <pic:cNvPicPr/>
                    </pic:nvPicPr>
                    <pic:blipFill>
                      <a:blip r:embed="rId1">
                        <a:extLst>
                          <a:ext uri="{28A0092B-C50C-407E-A947-70E740481C1C}">
                            <a14:useLocalDpi xmlns:a14="http://schemas.microsoft.com/office/drawing/2010/main" val="0"/>
                          </a:ext>
                        </a:extLst>
                      </a:blip>
                      <a:stretch>
                        <a:fillRect/>
                      </a:stretch>
                    </pic:blipFill>
                    <pic:spPr>
                      <a:xfrm>
                        <a:off x="0" y="0"/>
                        <a:ext cx="6144211" cy="759260"/>
                      </a:xfrm>
                      <a:prstGeom prst="rect">
                        <a:avLst/>
                      </a:prstGeom>
                    </pic:spPr>
                  </pic:pic>
                </a:graphicData>
              </a:graphic>
              <wp14:sizeRelH relativeFrom="page">
                <wp14:pctWidth>0</wp14:pctWidth>
              </wp14:sizeRelH>
              <wp14:sizeRelV relativeFrom="page">
                <wp14:pctHeight>0</wp14:pctHeight>
              </wp14:sizeRelV>
            </wp:anchor>
          </w:drawing>
        </w:r>
      </w:p>
    </w:sdtContent>
  </w:sdt>
  <w:p w14:paraId="1B09FF0F" w14:textId="14D3C6DE" w:rsidR="00B51094" w:rsidRDefault="00B51094">
    <w:pPr>
      <w:pStyle w:val="Pidipagina"/>
      <w:rPr>
        <w:noProof/>
      </w:rPr>
    </w:pPr>
  </w:p>
  <w:p w14:paraId="02D4217A" w14:textId="77777777" w:rsidR="008C176C" w:rsidRDefault="008C176C">
    <w:pPr>
      <w:pStyle w:val="Pidipagina"/>
      <w:rPr>
        <w:noProof/>
      </w:rPr>
    </w:pPr>
  </w:p>
  <w:p w14:paraId="23B9B1C6" w14:textId="5FE8C78C" w:rsidR="00CE6BE8" w:rsidRDefault="00CE6B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B4AA0" w14:textId="77777777" w:rsidR="00056624" w:rsidRDefault="00056624" w:rsidP="00CE6BE8">
      <w:pPr>
        <w:spacing w:after="0" w:line="240" w:lineRule="auto"/>
      </w:pPr>
      <w:r>
        <w:separator/>
      </w:r>
    </w:p>
  </w:footnote>
  <w:footnote w:type="continuationSeparator" w:id="0">
    <w:p w14:paraId="52BD606F" w14:textId="77777777" w:rsidR="00056624" w:rsidRDefault="00056624" w:rsidP="00CE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87BA" w14:textId="557D78A7" w:rsidR="00471906" w:rsidRDefault="00471906">
    <w:pPr>
      <w:pStyle w:val="Intestazione"/>
      <w:rPr>
        <w:noProof/>
      </w:rPr>
    </w:pPr>
    <w:r>
      <w:rPr>
        <w:noProof/>
      </w:rPr>
      <w:drawing>
        <wp:anchor distT="0" distB="0" distL="114300" distR="114300" simplePos="0" relativeHeight="251660288" behindDoc="0" locked="0" layoutInCell="1" allowOverlap="1" wp14:anchorId="214623C9" wp14:editId="1AA07A4E">
          <wp:simplePos x="0" y="0"/>
          <wp:positionH relativeFrom="margin">
            <wp:align>center</wp:align>
          </wp:positionH>
          <wp:positionV relativeFrom="paragraph">
            <wp:posOffset>-201930</wp:posOffset>
          </wp:positionV>
          <wp:extent cx="6800252" cy="762012"/>
          <wp:effectExtent l="0" t="0" r="635" b="0"/>
          <wp:wrapNone/>
          <wp:docPr id="14026984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36780" name="Immagine 537736780"/>
                  <pic:cNvPicPr/>
                </pic:nvPicPr>
                <pic:blipFill rotWithShape="1">
                  <a:blip r:embed="rId1">
                    <a:extLst>
                      <a:ext uri="{28A0092B-C50C-407E-A947-70E740481C1C}">
                        <a14:useLocalDpi xmlns:a14="http://schemas.microsoft.com/office/drawing/2010/main" val="0"/>
                      </a:ext>
                    </a:extLst>
                  </a:blip>
                  <a:srcRect t="81418" b="9619"/>
                  <a:stretch>
                    <a:fillRect/>
                  </a:stretch>
                </pic:blipFill>
                <pic:spPr bwMode="auto">
                  <a:xfrm>
                    <a:off x="0" y="0"/>
                    <a:ext cx="6800252" cy="7620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6348D" w14:textId="6754351B" w:rsidR="008C176C" w:rsidRDefault="008C176C">
    <w:pPr>
      <w:pStyle w:val="Intestazione"/>
      <w:rPr>
        <w:noProof/>
      </w:rPr>
    </w:pPr>
  </w:p>
  <w:p w14:paraId="51205167" w14:textId="59515132" w:rsidR="008C176C" w:rsidRDefault="008C176C">
    <w:pPr>
      <w:pStyle w:val="Intestazione"/>
      <w:rPr>
        <w:noProof/>
      </w:rPr>
    </w:pPr>
  </w:p>
  <w:p w14:paraId="4AA6EF88" w14:textId="77777777" w:rsidR="008D68EE" w:rsidRDefault="008D68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E8"/>
    <w:rsid w:val="00003114"/>
    <w:rsid w:val="00006A3A"/>
    <w:rsid w:val="00007BB7"/>
    <w:rsid w:val="00010464"/>
    <w:rsid w:val="00012FD4"/>
    <w:rsid w:val="00014C33"/>
    <w:rsid w:val="000224E2"/>
    <w:rsid w:val="00022B7C"/>
    <w:rsid w:val="00027EE3"/>
    <w:rsid w:val="00037834"/>
    <w:rsid w:val="00046C2F"/>
    <w:rsid w:val="000527D4"/>
    <w:rsid w:val="000555E0"/>
    <w:rsid w:val="0005608A"/>
    <w:rsid w:val="00056624"/>
    <w:rsid w:val="000566AE"/>
    <w:rsid w:val="000661B3"/>
    <w:rsid w:val="0007491E"/>
    <w:rsid w:val="00077694"/>
    <w:rsid w:val="000964CC"/>
    <w:rsid w:val="0009797F"/>
    <w:rsid w:val="000B2C92"/>
    <w:rsid w:val="000C7D23"/>
    <w:rsid w:val="000D081C"/>
    <w:rsid w:val="000D41AE"/>
    <w:rsid w:val="000E13F7"/>
    <w:rsid w:val="000E227F"/>
    <w:rsid w:val="000F0CF4"/>
    <w:rsid w:val="000F2F60"/>
    <w:rsid w:val="000F706A"/>
    <w:rsid w:val="00102B51"/>
    <w:rsid w:val="00103DAE"/>
    <w:rsid w:val="0010794F"/>
    <w:rsid w:val="00110237"/>
    <w:rsid w:val="00114773"/>
    <w:rsid w:val="001255CE"/>
    <w:rsid w:val="00126499"/>
    <w:rsid w:val="00127FDC"/>
    <w:rsid w:val="00130BEE"/>
    <w:rsid w:val="00136A8E"/>
    <w:rsid w:val="00137BF2"/>
    <w:rsid w:val="00151C64"/>
    <w:rsid w:val="0015319C"/>
    <w:rsid w:val="00166195"/>
    <w:rsid w:val="00181FD8"/>
    <w:rsid w:val="00183B97"/>
    <w:rsid w:val="00185A55"/>
    <w:rsid w:val="00191BD1"/>
    <w:rsid w:val="0019684C"/>
    <w:rsid w:val="001A0744"/>
    <w:rsid w:val="001A0F21"/>
    <w:rsid w:val="001A2E3E"/>
    <w:rsid w:val="001B3202"/>
    <w:rsid w:val="001B426F"/>
    <w:rsid w:val="001D0817"/>
    <w:rsid w:val="001D2144"/>
    <w:rsid w:val="001D6B23"/>
    <w:rsid w:val="001D705F"/>
    <w:rsid w:val="001D7E37"/>
    <w:rsid w:val="001E0C61"/>
    <w:rsid w:val="001F202A"/>
    <w:rsid w:val="001F3546"/>
    <w:rsid w:val="001F48D8"/>
    <w:rsid w:val="002001B9"/>
    <w:rsid w:val="002124DD"/>
    <w:rsid w:val="002154F4"/>
    <w:rsid w:val="00220D46"/>
    <w:rsid w:val="0022662C"/>
    <w:rsid w:val="00230B43"/>
    <w:rsid w:val="00233245"/>
    <w:rsid w:val="00233764"/>
    <w:rsid w:val="002417CA"/>
    <w:rsid w:val="00243C01"/>
    <w:rsid w:val="00246721"/>
    <w:rsid w:val="00251CDD"/>
    <w:rsid w:val="002553AB"/>
    <w:rsid w:val="00256D62"/>
    <w:rsid w:val="00270BE3"/>
    <w:rsid w:val="00280230"/>
    <w:rsid w:val="00280866"/>
    <w:rsid w:val="00281A42"/>
    <w:rsid w:val="002861A2"/>
    <w:rsid w:val="00296CDE"/>
    <w:rsid w:val="002B45EA"/>
    <w:rsid w:val="002B5881"/>
    <w:rsid w:val="002C0FA4"/>
    <w:rsid w:val="002C5116"/>
    <w:rsid w:val="002D0565"/>
    <w:rsid w:val="002D251E"/>
    <w:rsid w:val="002D38E9"/>
    <w:rsid w:val="002E4B6A"/>
    <w:rsid w:val="002E4E4D"/>
    <w:rsid w:val="002E631B"/>
    <w:rsid w:val="002F720F"/>
    <w:rsid w:val="002F7438"/>
    <w:rsid w:val="002F7E93"/>
    <w:rsid w:val="00313B37"/>
    <w:rsid w:val="0032061A"/>
    <w:rsid w:val="00323350"/>
    <w:rsid w:val="00325625"/>
    <w:rsid w:val="00326701"/>
    <w:rsid w:val="00327574"/>
    <w:rsid w:val="0033493B"/>
    <w:rsid w:val="00335D10"/>
    <w:rsid w:val="00336841"/>
    <w:rsid w:val="00336E2F"/>
    <w:rsid w:val="00337A23"/>
    <w:rsid w:val="00350EF2"/>
    <w:rsid w:val="0035122D"/>
    <w:rsid w:val="003517F3"/>
    <w:rsid w:val="00360E61"/>
    <w:rsid w:val="003700D5"/>
    <w:rsid w:val="00372427"/>
    <w:rsid w:val="00376E1F"/>
    <w:rsid w:val="00377EFD"/>
    <w:rsid w:val="0038631E"/>
    <w:rsid w:val="00387F90"/>
    <w:rsid w:val="0039158F"/>
    <w:rsid w:val="00391E40"/>
    <w:rsid w:val="00392B61"/>
    <w:rsid w:val="003949DA"/>
    <w:rsid w:val="003961C8"/>
    <w:rsid w:val="003A3003"/>
    <w:rsid w:val="003A5F6A"/>
    <w:rsid w:val="003B11EB"/>
    <w:rsid w:val="003B28BF"/>
    <w:rsid w:val="003B4026"/>
    <w:rsid w:val="003C11CD"/>
    <w:rsid w:val="003C2584"/>
    <w:rsid w:val="003D6C69"/>
    <w:rsid w:val="003D7ABF"/>
    <w:rsid w:val="003E442C"/>
    <w:rsid w:val="003E560C"/>
    <w:rsid w:val="003E59F8"/>
    <w:rsid w:val="003E6EBC"/>
    <w:rsid w:val="003F1065"/>
    <w:rsid w:val="003F521E"/>
    <w:rsid w:val="004106C6"/>
    <w:rsid w:val="00417333"/>
    <w:rsid w:val="00422856"/>
    <w:rsid w:val="00424C7C"/>
    <w:rsid w:val="00425326"/>
    <w:rsid w:val="00427904"/>
    <w:rsid w:val="00431BAC"/>
    <w:rsid w:val="00433521"/>
    <w:rsid w:val="0043597C"/>
    <w:rsid w:val="004375A1"/>
    <w:rsid w:val="00437DD7"/>
    <w:rsid w:val="004409BB"/>
    <w:rsid w:val="00446651"/>
    <w:rsid w:val="00446C78"/>
    <w:rsid w:val="0045558F"/>
    <w:rsid w:val="00456C64"/>
    <w:rsid w:val="00457ACF"/>
    <w:rsid w:val="00464253"/>
    <w:rsid w:val="00466C9B"/>
    <w:rsid w:val="00471906"/>
    <w:rsid w:val="004772AE"/>
    <w:rsid w:val="00486BCF"/>
    <w:rsid w:val="00493ED4"/>
    <w:rsid w:val="004A194C"/>
    <w:rsid w:val="004A304D"/>
    <w:rsid w:val="004D04E8"/>
    <w:rsid w:val="004D27C8"/>
    <w:rsid w:val="004D2997"/>
    <w:rsid w:val="004E682C"/>
    <w:rsid w:val="004E6AF8"/>
    <w:rsid w:val="004F1CB7"/>
    <w:rsid w:val="004F2A1E"/>
    <w:rsid w:val="004F2C15"/>
    <w:rsid w:val="004F361A"/>
    <w:rsid w:val="004F6C22"/>
    <w:rsid w:val="004F7E5F"/>
    <w:rsid w:val="00505215"/>
    <w:rsid w:val="00506486"/>
    <w:rsid w:val="005070DD"/>
    <w:rsid w:val="005126F9"/>
    <w:rsid w:val="005131E4"/>
    <w:rsid w:val="0051475A"/>
    <w:rsid w:val="00517AEB"/>
    <w:rsid w:val="00521234"/>
    <w:rsid w:val="00537414"/>
    <w:rsid w:val="0054077B"/>
    <w:rsid w:val="00542FE4"/>
    <w:rsid w:val="00544370"/>
    <w:rsid w:val="005624D6"/>
    <w:rsid w:val="005653BB"/>
    <w:rsid w:val="00567FA2"/>
    <w:rsid w:val="00575B67"/>
    <w:rsid w:val="00581840"/>
    <w:rsid w:val="0058342A"/>
    <w:rsid w:val="005A27E9"/>
    <w:rsid w:val="005A3F05"/>
    <w:rsid w:val="005A42D9"/>
    <w:rsid w:val="005A6BB8"/>
    <w:rsid w:val="005B0344"/>
    <w:rsid w:val="005B0951"/>
    <w:rsid w:val="005B4140"/>
    <w:rsid w:val="005B4D0F"/>
    <w:rsid w:val="005D2FD8"/>
    <w:rsid w:val="005E17C8"/>
    <w:rsid w:val="005E2E9C"/>
    <w:rsid w:val="00602BFB"/>
    <w:rsid w:val="006047F4"/>
    <w:rsid w:val="00606EE9"/>
    <w:rsid w:val="006074E1"/>
    <w:rsid w:val="006156F2"/>
    <w:rsid w:val="006163EE"/>
    <w:rsid w:val="00623978"/>
    <w:rsid w:val="006279BE"/>
    <w:rsid w:val="00633737"/>
    <w:rsid w:val="00633A8D"/>
    <w:rsid w:val="00633D1F"/>
    <w:rsid w:val="00635541"/>
    <w:rsid w:val="00642E9E"/>
    <w:rsid w:val="00647451"/>
    <w:rsid w:val="00653EC8"/>
    <w:rsid w:val="0065653A"/>
    <w:rsid w:val="0066693D"/>
    <w:rsid w:val="00666C50"/>
    <w:rsid w:val="0067061C"/>
    <w:rsid w:val="00677F78"/>
    <w:rsid w:val="00681079"/>
    <w:rsid w:val="006962FB"/>
    <w:rsid w:val="00696378"/>
    <w:rsid w:val="006A00F1"/>
    <w:rsid w:val="006A7B81"/>
    <w:rsid w:val="006B4567"/>
    <w:rsid w:val="006C5538"/>
    <w:rsid w:val="006D1393"/>
    <w:rsid w:val="006D46E7"/>
    <w:rsid w:val="006D7FAB"/>
    <w:rsid w:val="006E5AB7"/>
    <w:rsid w:val="006E7B1A"/>
    <w:rsid w:val="006F1905"/>
    <w:rsid w:val="006F5570"/>
    <w:rsid w:val="007002BE"/>
    <w:rsid w:val="00702DBD"/>
    <w:rsid w:val="00705C1B"/>
    <w:rsid w:val="0070619E"/>
    <w:rsid w:val="00717907"/>
    <w:rsid w:val="00731CEE"/>
    <w:rsid w:val="00732057"/>
    <w:rsid w:val="00733AE9"/>
    <w:rsid w:val="0073714C"/>
    <w:rsid w:val="007376E9"/>
    <w:rsid w:val="00737ED2"/>
    <w:rsid w:val="00740937"/>
    <w:rsid w:val="00746C08"/>
    <w:rsid w:val="00751114"/>
    <w:rsid w:val="0075267F"/>
    <w:rsid w:val="0076385A"/>
    <w:rsid w:val="00765080"/>
    <w:rsid w:val="007660BE"/>
    <w:rsid w:val="007718DF"/>
    <w:rsid w:val="00774412"/>
    <w:rsid w:val="00785D93"/>
    <w:rsid w:val="00786794"/>
    <w:rsid w:val="007911F4"/>
    <w:rsid w:val="007A2868"/>
    <w:rsid w:val="007A3C31"/>
    <w:rsid w:val="007A58E5"/>
    <w:rsid w:val="007B4A3D"/>
    <w:rsid w:val="007C4176"/>
    <w:rsid w:val="007C4FD1"/>
    <w:rsid w:val="007C6CB6"/>
    <w:rsid w:val="007C7252"/>
    <w:rsid w:val="007E5DCF"/>
    <w:rsid w:val="007E7B86"/>
    <w:rsid w:val="007F1D90"/>
    <w:rsid w:val="007F32EB"/>
    <w:rsid w:val="007F7A05"/>
    <w:rsid w:val="008042F7"/>
    <w:rsid w:val="0080438C"/>
    <w:rsid w:val="00804841"/>
    <w:rsid w:val="00806E2D"/>
    <w:rsid w:val="00812533"/>
    <w:rsid w:val="00823279"/>
    <w:rsid w:val="00827EAB"/>
    <w:rsid w:val="0083174A"/>
    <w:rsid w:val="00841BD6"/>
    <w:rsid w:val="008430C5"/>
    <w:rsid w:val="008519B7"/>
    <w:rsid w:val="008570D2"/>
    <w:rsid w:val="0086270E"/>
    <w:rsid w:val="008713D1"/>
    <w:rsid w:val="00872A65"/>
    <w:rsid w:val="00880C74"/>
    <w:rsid w:val="00884357"/>
    <w:rsid w:val="008901DB"/>
    <w:rsid w:val="00890612"/>
    <w:rsid w:val="00895F58"/>
    <w:rsid w:val="008968D5"/>
    <w:rsid w:val="008B3B32"/>
    <w:rsid w:val="008B6142"/>
    <w:rsid w:val="008C021C"/>
    <w:rsid w:val="008C176C"/>
    <w:rsid w:val="008C5941"/>
    <w:rsid w:val="008C5E57"/>
    <w:rsid w:val="008D3B5D"/>
    <w:rsid w:val="008D3C79"/>
    <w:rsid w:val="008D4C0F"/>
    <w:rsid w:val="008D68EE"/>
    <w:rsid w:val="008E03D3"/>
    <w:rsid w:val="008E6254"/>
    <w:rsid w:val="008F3534"/>
    <w:rsid w:val="008F3DCD"/>
    <w:rsid w:val="00920DFE"/>
    <w:rsid w:val="00923D0A"/>
    <w:rsid w:val="0092685F"/>
    <w:rsid w:val="0093496C"/>
    <w:rsid w:val="0093694D"/>
    <w:rsid w:val="009432D9"/>
    <w:rsid w:val="00947302"/>
    <w:rsid w:val="00947845"/>
    <w:rsid w:val="0095162B"/>
    <w:rsid w:val="00954A6C"/>
    <w:rsid w:val="00962D1E"/>
    <w:rsid w:val="00964C3E"/>
    <w:rsid w:val="0096542A"/>
    <w:rsid w:val="00965B33"/>
    <w:rsid w:val="009671C3"/>
    <w:rsid w:val="009715CF"/>
    <w:rsid w:val="00977E4C"/>
    <w:rsid w:val="009805C5"/>
    <w:rsid w:val="009920D8"/>
    <w:rsid w:val="0099213B"/>
    <w:rsid w:val="00993B01"/>
    <w:rsid w:val="00995E35"/>
    <w:rsid w:val="009A08F7"/>
    <w:rsid w:val="009A2EC7"/>
    <w:rsid w:val="009A76EC"/>
    <w:rsid w:val="009B4FAB"/>
    <w:rsid w:val="009B5706"/>
    <w:rsid w:val="009B6C0E"/>
    <w:rsid w:val="009C0DB7"/>
    <w:rsid w:val="009C3D44"/>
    <w:rsid w:val="009D16D4"/>
    <w:rsid w:val="009D5459"/>
    <w:rsid w:val="009E743B"/>
    <w:rsid w:val="009F19F4"/>
    <w:rsid w:val="009F2949"/>
    <w:rsid w:val="009F4788"/>
    <w:rsid w:val="00A07169"/>
    <w:rsid w:val="00A10160"/>
    <w:rsid w:val="00A14F71"/>
    <w:rsid w:val="00A17BEF"/>
    <w:rsid w:val="00A27935"/>
    <w:rsid w:val="00A42057"/>
    <w:rsid w:val="00A422FA"/>
    <w:rsid w:val="00A43835"/>
    <w:rsid w:val="00A455C7"/>
    <w:rsid w:val="00A47F49"/>
    <w:rsid w:val="00A5120E"/>
    <w:rsid w:val="00A53908"/>
    <w:rsid w:val="00A60F86"/>
    <w:rsid w:val="00A671DC"/>
    <w:rsid w:val="00A70DEC"/>
    <w:rsid w:val="00A734CF"/>
    <w:rsid w:val="00A735EC"/>
    <w:rsid w:val="00A80243"/>
    <w:rsid w:val="00A83CC8"/>
    <w:rsid w:val="00A840DA"/>
    <w:rsid w:val="00A962B6"/>
    <w:rsid w:val="00A97263"/>
    <w:rsid w:val="00AB0497"/>
    <w:rsid w:val="00AB0E8D"/>
    <w:rsid w:val="00AC4116"/>
    <w:rsid w:val="00AD50D4"/>
    <w:rsid w:val="00AE0241"/>
    <w:rsid w:val="00AE6418"/>
    <w:rsid w:val="00AE7E94"/>
    <w:rsid w:val="00AF7B12"/>
    <w:rsid w:val="00B026BF"/>
    <w:rsid w:val="00B10FE4"/>
    <w:rsid w:val="00B1441A"/>
    <w:rsid w:val="00B14978"/>
    <w:rsid w:val="00B1664D"/>
    <w:rsid w:val="00B2492C"/>
    <w:rsid w:val="00B27246"/>
    <w:rsid w:val="00B272E1"/>
    <w:rsid w:val="00B27729"/>
    <w:rsid w:val="00B30EB0"/>
    <w:rsid w:val="00B31049"/>
    <w:rsid w:val="00B34F91"/>
    <w:rsid w:val="00B41005"/>
    <w:rsid w:val="00B43A56"/>
    <w:rsid w:val="00B51094"/>
    <w:rsid w:val="00B513EF"/>
    <w:rsid w:val="00B5700B"/>
    <w:rsid w:val="00B61E4E"/>
    <w:rsid w:val="00B67FB7"/>
    <w:rsid w:val="00B7255E"/>
    <w:rsid w:val="00B955F3"/>
    <w:rsid w:val="00B97D32"/>
    <w:rsid w:val="00BA0596"/>
    <w:rsid w:val="00BA1663"/>
    <w:rsid w:val="00BA30D6"/>
    <w:rsid w:val="00BA377D"/>
    <w:rsid w:val="00BC37FA"/>
    <w:rsid w:val="00BC43E6"/>
    <w:rsid w:val="00BC5D62"/>
    <w:rsid w:val="00BD33C5"/>
    <w:rsid w:val="00BE0A1A"/>
    <w:rsid w:val="00BE11A1"/>
    <w:rsid w:val="00BE23B4"/>
    <w:rsid w:val="00BE394A"/>
    <w:rsid w:val="00BE743A"/>
    <w:rsid w:val="00BF5372"/>
    <w:rsid w:val="00C04F93"/>
    <w:rsid w:val="00C071D7"/>
    <w:rsid w:val="00C12FBD"/>
    <w:rsid w:val="00C133C0"/>
    <w:rsid w:val="00C14AAE"/>
    <w:rsid w:val="00C16305"/>
    <w:rsid w:val="00C204FE"/>
    <w:rsid w:val="00C241E4"/>
    <w:rsid w:val="00C25257"/>
    <w:rsid w:val="00C30370"/>
    <w:rsid w:val="00C3109F"/>
    <w:rsid w:val="00C32C7A"/>
    <w:rsid w:val="00C41691"/>
    <w:rsid w:val="00C42474"/>
    <w:rsid w:val="00C46ED2"/>
    <w:rsid w:val="00C470DF"/>
    <w:rsid w:val="00C511B8"/>
    <w:rsid w:val="00C53848"/>
    <w:rsid w:val="00C62F4E"/>
    <w:rsid w:val="00C63006"/>
    <w:rsid w:val="00C64DDE"/>
    <w:rsid w:val="00C730B7"/>
    <w:rsid w:val="00C74BBD"/>
    <w:rsid w:val="00C87869"/>
    <w:rsid w:val="00C90A05"/>
    <w:rsid w:val="00C911A1"/>
    <w:rsid w:val="00CB2705"/>
    <w:rsid w:val="00CB5B59"/>
    <w:rsid w:val="00CB630A"/>
    <w:rsid w:val="00CC0028"/>
    <w:rsid w:val="00CC7394"/>
    <w:rsid w:val="00CE04BF"/>
    <w:rsid w:val="00CE1F7C"/>
    <w:rsid w:val="00CE6BE8"/>
    <w:rsid w:val="00CF0AEF"/>
    <w:rsid w:val="00CF4AA5"/>
    <w:rsid w:val="00D005C8"/>
    <w:rsid w:val="00D020D9"/>
    <w:rsid w:val="00D03F71"/>
    <w:rsid w:val="00D04B7F"/>
    <w:rsid w:val="00D10219"/>
    <w:rsid w:val="00D17354"/>
    <w:rsid w:val="00D234CA"/>
    <w:rsid w:val="00D2598E"/>
    <w:rsid w:val="00D26F5E"/>
    <w:rsid w:val="00D3385C"/>
    <w:rsid w:val="00D4226B"/>
    <w:rsid w:val="00D46D13"/>
    <w:rsid w:val="00D5224A"/>
    <w:rsid w:val="00D579C2"/>
    <w:rsid w:val="00D6057F"/>
    <w:rsid w:val="00D60EBA"/>
    <w:rsid w:val="00D66E8D"/>
    <w:rsid w:val="00D678D0"/>
    <w:rsid w:val="00D732BA"/>
    <w:rsid w:val="00D767E5"/>
    <w:rsid w:val="00D80829"/>
    <w:rsid w:val="00D86204"/>
    <w:rsid w:val="00D869E2"/>
    <w:rsid w:val="00D934B6"/>
    <w:rsid w:val="00D9433B"/>
    <w:rsid w:val="00D974FA"/>
    <w:rsid w:val="00DB141D"/>
    <w:rsid w:val="00DB541C"/>
    <w:rsid w:val="00DB594C"/>
    <w:rsid w:val="00DC0DF2"/>
    <w:rsid w:val="00DD6530"/>
    <w:rsid w:val="00DD6C4D"/>
    <w:rsid w:val="00DE039D"/>
    <w:rsid w:val="00DE30A9"/>
    <w:rsid w:val="00DE4255"/>
    <w:rsid w:val="00DE62B1"/>
    <w:rsid w:val="00DF1AC7"/>
    <w:rsid w:val="00DF1D36"/>
    <w:rsid w:val="00E02946"/>
    <w:rsid w:val="00E04DA0"/>
    <w:rsid w:val="00E05348"/>
    <w:rsid w:val="00E11EE9"/>
    <w:rsid w:val="00E121C3"/>
    <w:rsid w:val="00E14CE3"/>
    <w:rsid w:val="00E1658E"/>
    <w:rsid w:val="00E16698"/>
    <w:rsid w:val="00E171DE"/>
    <w:rsid w:val="00E2011B"/>
    <w:rsid w:val="00E348AB"/>
    <w:rsid w:val="00E36BBB"/>
    <w:rsid w:val="00E532C4"/>
    <w:rsid w:val="00E55912"/>
    <w:rsid w:val="00E65BE2"/>
    <w:rsid w:val="00E732D3"/>
    <w:rsid w:val="00E764EF"/>
    <w:rsid w:val="00E85D2B"/>
    <w:rsid w:val="00E95D8A"/>
    <w:rsid w:val="00E96F52"/>
    <w:rsid w:val="00EA0616"/>
    <w:rsid w:val="00EA2F0B"/>
    <w:rsid w:val="00EA42F6"/>
    <w:rsid w:val="00EA46C3"/>
    <w:rsid w:val="00EB55E8"/>
    <w:rsid w:val="00EB722A"/>
    <w:rsid w:val="00EC1036"/>
    <w:rsid w:val="00EC33A7"/>
    <w:rsid w:val="00EC6522"/>
    <w:rsid w:val="00EE022D"/>
    <w:rsid w:val="00EE0AE9"/>
    <w:rsid w:val="00EE1C16"/>
    <w:rsid w:val="00EE3E32"/>
    <w:rsid w:val="00EE416E"/>
    <w:rsid w:val="00EF4E7E"/>
    <w:rsid w:val="00F02CFE"/>
    <w:rsid w:val="00F26B38"/>
    <w:rsid w:val="00F271E8"/>
    <w:rsid w:val="00F3045C"/>
    <w:rsid w:val="00F32598"/>
    <w:rsid w:val="00F34CA1"/>
    <w:rsid w:val="00F37CC8"/>
    <w:rsid w:val="00F50636"/>
    <w:rsid w:val="00F52B87"/>
    <w:rsid w:val="00F57745"/>
    <w:rsid w:val="00F60BF9"/>
    <w:rsid w:val="00F63156"/>
    <w:rsid w:val="00F64FDF"/>
    <w:rsid w:val="00F66438"/>
    <w:rsid w:val="00F74837"/>
    <w:rsid w:val="00F75CFF"/>
    <w:rsid w:val="00F767A4"/>
    <w:rsid w:val="00F77BB3"/>
    <w:rsid w:val="00F831F3"/>
    <w:rsid w:val="00F860AE"/>
    <w:rsid w:val="00F92F63"/>
    <w:rsid w:val="00F95743"/>
    <w:rsid w:val="00F96949"/>
    <w:rsid w:val="00FA0EAF"/>
    <w:rsid w:val="00FA7A4B"/>
    <w:rsid w:val="00FC1223"/>
    <w:rsid w:val="00FC727B"/>
    <w:rsid w:val="00FD2BBB"/>
    <w:rsid w:val="00FD410B"/>
    <w:rsid w:val="00FD7D59"/>
    <w:rsid w:val="00FE1132"/>
    <w:rsid w:val="00FE1D55"/>
    <w:rsid w:val="00FE22A5"/>
    <w:rsid w:val="00FE63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64BB6"/>
  <w15:chartTrackingRefBased/>
  <w15:docId w15:val="{8203B4A2-DEBD-473E-AAE3-23DF2CF6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5116"/>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6BE8"/>
    <w:pPr>
      <w:tabs>
        <w:tab w:val="center" w:pos="4819"/>
        <w:tab w:val="right" w:pos="9638"/>
      </w:tabs>
      <w:spacing w:after="0" w:line="240" w:lineRule="auto"/>
    </w:pPr>
    <w:rPr>
      <w:kern w:val="2"/>
      <w14:ligatures w14:val="standardContextual"/>
    </w:rPr>
  </w:style>
  <w:style w:type="character" w:customStyle="1" w:styleId="IntestazioneCarattere">
    <w:name w:val="Intestazione Carattere"/>
    <w:basedOn w:val="Carpredefinitoparagrafo"/>
    <w:link w:val="Intestazione"/>
    <w:uiPriority w:val="99"/>
    <w:rsid w:val="00CE6BE8"/>
  </w:style>
  <w:style w:type="paragraph" w:styleId="Pidipagina">
    <w:name w:val="footer"/>
    <w:basedOn w:val="Normale"/>
    <w:link w:val="PidipaginaCarattere"/>
    <w:uiPriority w:val="99"/>
    <w:unhideWhenUsed/>
    <w:rsid w:val="00CE6BE8"/>
    <w:pPr>
      <w:tabs>
        <w:tab w:val="center" w:pos="4819"/>
        <w:tab w:val="right" w:pos="9638"/>
      </w:tabs>
      <w:spacing w:after="0" w:line="240" w:lineRule="auto"/>
    </w:pPr>
    <w:rPr>
      <w:kern w:val="2"/>
      <w14:ligatures w14:val="standardContextual"/>
    </w:rPr>
  </w:style>
  <w:style w:type="character" w:customStyle="1" w:styleId="PidipaginaCarattere">
    <w:name w:val="Piè di pagina Carattere"/>
    <w:basedOn w:val="Carpredefinitoparagrafo"/>
    <w:link w:val="Pidipagina"/>
    <w:uiPriority w:val="99"/>
    <w:rsid w:val="00CE6BE8"/>
  </w:style>
  <w:style w:type="paragraph" w:customStyle="1" w:styleId="Default">
    <w:name w:val="Default"/>
    <w:rsid w:val="002C5116"/>
    <w:pPr>
      <w:autoSpaceDE w:val="0"/>
      <w:autoSpaceDN w:val="0"/>
      <w:adjustRightInd w:val="0"/>
      <w:spacing w:after="0" w:line="240" w:lineRule="auto"/>
    </w:pPr>
    <w:rPr>
      <w:rFonts w:ascii="Apercu Pro" w:hAnsi="Apercu Pro" w:cs="Apercu Pro"/>
      <w:color w:val="000000"/>
      <w:kern w:val="0"/>
      <w:sz w:val="24"/>
      <w:szCs w:val="24"/>
      <w14:ligatures w14:val="none"/>
    </w:rPr>
  </w:style>
  <w:style w:type="paragraph" w:styleId="Testocommento">
    <w:name w:val="annotation text"/>
    <w:basedOn w:val="Normale"/>
    <w:link w:val="TestocommentoCarattere"/>
    <w:uiPriority w:val="99"/>
    <w:unhideWhenUsed/>
    <w:rsid w:val="00A5120E"/>
    <w:pPr>
      <w:pBdr>
        <w:top w:val="nil"/>
        <w:left w:val="nil"/>
        <w:bottom w:val="nil"/>
        <w:right w:val="nil"/>
        <w:between w:val="nil"/>
        <w:bar w:val="nil"/>
      </w:pBdr>
      <w:spacing w:line="240" w:lineRule="auto"/>
    </w:pPr>
    <w:rPr>
      <w:rFonts w:ascii="Calibri" w:eastAsia="Arial Unicode MS" w:hAnsi="Calibri" w:cs="Arial Unicode MS"/>
      <w:color w:val="000000"/>
      <w:sz w:val="20"/>
      <w:szCs w:val="20"/>
      <w:u w:color="000000"/>
      <w:bdr w:val="nil"/>
      <w:lang w:eastAsia="it-IT"/>
      <w14:textOutline w14:w="0" w14:cap="flat" w14:cmpd="sng" w14:algn="ctr">
        <w14:noFill/>
        <w14:prstDash w14:val="solid"/>
        <w14:bevel/>
      </w14:textOutline>
    </w:rPr>
  </w:style>
  <w:style w:type="character" w:customStyle="1" w:styleId="TestocommentoCarattere">
    <w:name w:val="Testo commento Carattere"/>
    <w:basedOn w:val="Carpredefinitoparagrafo"/>
    <w:link w:val="Testocommento"/>
    <w:uiPriority w:val="99"/>
    <w:rsid w:val="00A5120E"/>
    <w:rPr>
      <w:rFonts w:ascii="Calibri" w:eastAsia="Arial Unicode MS" w:hAnsi="Calibri" w:cs="Arial Unicode MS"/>
      <w:color w:val="000000"/>
      <w:kern w:val="0"/>
      <w:sz w:val="20"/>
      <w:szCs w:val="20"/>
      <w:u w:color="000000"/>
      <w:bdr w:val="nil"/>
      <w:lang w:eastAsia="it-IT"/>
      <w14:textOutline w14:w="0" w14:cap="flat" w14:cmpd="sng" w14:algn="ctr">
        <w14:noFill/>
        <w14:prstDash w14:val="solid"/>
        <w14:bevel/>
      </w14:textOutline>
      <w14:ligatures w14:val="none"/>
    </w:rPr>
  </w:style>
  <w:style w:type="character" w:styleId="Rimandocommento">
    <w:name w:val="annotation reference"/>
    <w:basedOn w:val="Carpredefinitoparagrafo"/>
    <w:uiPriority w:val="99"/>
    <w:semiHidden/>
    <w:unhideWhenUsed/>
    <w:rsid w:val="00A5120E"/>
    <w:rPr>
      <w:sz w:val="16"/>
      <w:szCs w:val="16"/>
    </w:rPr>
  </w:style>
  <w:style w:type="paragraph" w:styleId="Revisione">
    <w:name w:val="Revision"/>
    <w:hidden/>
    <w:uiPriority w:val="99"/>
    <w:semiHidden/>
    <w:rsid w:val="00A5120E"/>
    <w:pPr>
      <w:spacing w:after="0" w:line="240" w:lineRule="auto"/>
    </w:pPr>
    <w:rPr>
      <w:kern w:val="0"/>
      <w14:ligatures w14:val="none"/>
    </w:rPr>
  </w:style>
  <w:style w:type="paragraph" w:styleId="Soggettocommento">
    <w:name w:val="annotation subject"/>
    <w:basedOn w:val="Testocommento"/>
    <w:next w:val="Testocommento"/>
    <w:link w:val="SoggettocommentoCarattere"/>
    <w:uiPriority w:val="99"/>
    <w:semiHidden/>
    <w:unhideWhenUsed/>
    <w:rsid w:val="008E03D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color w:val="auto"/>
      <w:bdr w:val="none" w:sz="0" w:space="0" w:color="auto"/>
      <w:lang w:eastAsia="en-US"/>
      <w14:textOutline w14:w="0" w14:cap="rnd" w14:cmpd="sng" w14:algn="ctr">
        <w14:noFill/>
        <w14:prstDash w14:val="solid"/>
        <w14:bevel/>
      </w14:textOutline>
    </w:rPr>
  </w:style>
  <w:style w:type="character" w:customStyle="1" w:styleId="SoggettocommentoCarattere">
    <w:name w:val="Soggetto commento Carattere"/>
    <w:basedOn w:val="TestocommentoCarattere"/>
    <w:link w:val="Soggettocommento"/>
    <w:uiPriority w:val="99"/>
    <w:semiHidden/>
    <w:rsid w:val="008E03D3"/>
    <w:rPr>
      <w:rFonts w:ascii="Calibri" w:eastAsia="Arial Unicode MS" w:hAnsi="Calibri" w:cs="Arial Unicode MS"/>
      <w:b/>
      <w:bCs/>
      <w:color w:val="000000"/>
      <w:kern w:val="0"/>
      <w:sz w:val="20"/>
      <w:szCs w:val="20"/>
      <w:u w:color="000000"/>
      <w:bdr w:val="nil"/>
      <w:lang w:eastAsia="it-IT"/>
      <w14:textOutline w14:w="0" w14:cap="flat" w14:cmpd="sng" w14:algn="ctr">
        <w14:noFill/>
        <w14:prstDash w14:val="solid"/>
        <w14:bevel/>
      </w14:textOutline>
      <w14:ligatures w14:val="none"/>
    </w:rPr>
  </w:style>
  <w:style w:type="character" w:customStyle="1" w:styleId="Nessuno">
    <w:name w:val="Nessuno"/>
    <w:rsid w:val="00F75CFF"/>
  </w:style>
  <w:style w:type="paragraph" w:styleId="Testonotaapidipagina">
    <w:name w:val="footnote text"/>
    <w:aliases w:val="Char,Footnote Text Char1,Footnote Text Char Char,Footnote,Footnote1,Footnote2,Footnote3,Footnote4,Footnote5,Footnote6,Footnote7,Footnote8,Footnote9,Footnote10,Footnote11,Footnote21,Footnote31,Footnote41,Footnote51,Footnote61"/>
    <w:basedOn w:val="Normale"/>
    <w:link w:val="TestonotaapidipaginaCarattere"/>
    <w:uiPriority w:val="99"/>
    <w:unhideWhenUsed/>
    <w:qFormat/>
    <w:rsid w:val="00446C78"/>
    <w:pPr>
      <w:spacing w:after="0" w:line="240" w:lineRule="auto"/>
    </w:pPr>
    <w:rPr>
      <w:rFonts w:ascii="Calibri" w:hAnsi="Calibri" w:cs="Calibri"/>
      <w:sz w:val="20"/>
      <w:szCs w:val="20"/>
    </w:rPr>
  </w:style>
  <w:style w:type="character" w:customStyle="1" w:styleId="TestonotaapidipaginaCarattere">
    <w:name w:val="Testo nota a piè di pagina Carattere"/>
    <w:aliases w:val="Char Carattere,Footnote Text Char1 Carattere,Footnote Text Char Char Carattere,Footnote Carattere,Footnote1 Carattere,Footnote2 Carattere,Footnote3 Carattere,Footnote4 Carattere,Footnote5 Carattere"/>
    <w:basedOn w:val="Carpredefinitoparagrafo"/>
    <w:link w:val="Testonotaapidipagina"/>
    <w:uiPriority w:val="99"/>
    <w:rsid w:val="00446C78"/>
    <w:rPr>
      <w:rFonts w:ascii="Calibri" w:hAnsi="Calibri" w:cs="Calibri"/>
      <w:kern w:val="0"/>
      <w:sz w:val="20"/>
      <w:szCs w:val="20"/>
      <w14:ligatures w14:val="none"/>
    </w:rPr>
  </w:style>
  <w:style w:type="character" w:styleId="Rimandonotaapidipagina">
    <w:name w:val="footnote reference"/>
    <w:aliases w:val="Footnote number,nota a piè di pagina,FR + (Complex) Arial,(Latin) 9 pt,(Complex) 10 pt + (Compl...,Footnote symbol"/>
    <w:basedOn w:val="Carpredefinitoparagrafo"/>
    <w:uiPriority w:val="99"/>
    <w:unhideWhenUsed/>
    <w:rsid w:val="00446C78"/>
    <w:rPr>
      <w:vertAlign w:val="superscript"/>
    </w:rPr>
  </w:style>
  <w:style w:type="character" w:customStyle="1" w:styleId="cf01">
    <w:name w:val="cf01"/>
    <w:basedOn w:val="Carpredefinitoparagrafo"/>
    <w:rsid w:val="0080438C"/>
    <w:rPr>
      <w:rFonts w:ascii="Segoe UI" w:hAnsi="Segoe UI" w:cs="Segoe UI" w:hint="default"/>
      <w:sz w:val="18"/>
      <w:szCs w:val="18"/>
    </w:rPr>
  </w:style>
  <w:style w:type="character" w:customStyle="1" w:styleId="cf11">
    <w:name w:val="cf11"/>
    <w:basedOn w:val="Carpredefinitoparagrafo"/>
    <w:rsid w:val="0080438C"/>
    <w:rPr>
      <w:rFonts w:ascii="Segoe UI" w:hAnsi="Segoe UI" w:cs="Segoe UI" w:hint="default"/>
      <w:i/>
      <w:iCs/>
      <w:sz w:val="18"/>
      <w:szCs w:val="18"/>
    </w:rPr>
  </w:style>
  <w:style w:type="character" w:styleId="Collegamentoipertestuale">
    <w:name w:val="Hyperlink"/>
    <w:basedOn w:val="Carpredefinitoparagrafo"/>
    <w:uiPriority w:val="99"/>
    <w:unhideWhenUsed/>
    <w:rsid w:val="001D6B23"/>
    <w:rPr>
      <w:color w:val="0563C1" w:themeColor="hyperlink"/>
      <w:u w:val="single"/>
    </w:rPr>
  </w:style>
  <w:style w:type="character" w:styleId="Menzionenonrisolta">
    <w:name w:val="Unresolved Mention"/>
    <w:basedOn w:val="Carpredefinitoparagrafo"/>
    <w:uiPriority w:val="99"/>
    <w:semiHidden/>
    <w:unhideWhenUsed/>
    <w:rsid w:val="001D6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13255">
      <w:bodyDiv w:val="1"/>
      <w:marLeft w:val="0"/>
      <w:marRight w:val="0"/>
      <w:marTop w:val="0"/>
      <w:marBottom w:val="0"/>
      <w:divBdr>
        <w:top w:val="none" w:sz="0" w:space="0" w:color="auto"/>
        <w:left w:val="none" w:sz="0" w:space="0" w:color="auto"/>
        <w:bottom w:val="none" w:sz="0" w:space="0" w:color="auto"/>
        <w:right w:val="none" w:sz="0" w:space="0" w:color="auto"/>
      </w:divBdr>
    </w:div>
    <w:div w:id="1496459825">
      <w:bodyDiv w:val="1"/>
      <w:marLeft w:val="0"/>
      <w:marRight w:val="0"/>
      <w:marTop w:val="0"/>
      <w:marBottom w:val="0"/>
      <w:divBdr>
        <w:top w:val="none" w:sz="0" w:space="0" w:color="auto"/>
        <w:left w:val="none" w:sz="0" w:space="0" w:color="auto"/>
        <w:bottom w:val="none" w:sz="0" w:space="0" w:color="auto"/>
        <w:right w:val="none" w:sz="0" w:space="0" w:color="auto"/>
      </w:divBdr>
    </w:div>
    <w:div w:id="1637760165">
      <w:bodyDiv w:val="1"/>
      <w:marLeft w:val="0"/>
      <w:marRight w:val="0"/>
      <w:marTop w:val="0"/>
      <w:marBottom w:val="0"/>
      <w:divBdr>
        <w:top w:val="none" w:sz="0" w:space="0" w:color="auto"/>
        <w:left w:val="none" w:sz="0" w:space="0" w:color="auto"/>
        <w:bottom w:val="none" w:sz="0" w:space="0" w:color="auto"/>
        <w:right w:val="none" w:sz="0" w:space="0" w:color="auto"/>
      </w:divBdr>
    </w:div>
    <w:div w:id="20246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mbola.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9CC76-84AF-4DC6-95F7-7B541C89F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4419</Words>
  <Characters>25189</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Forcella</dc:creator>
  <cp:keywords/>
  <dc:description/>
  <cp:lastModifiedBy>Luna Moltedo</cp:lastModifiedBy>
  <cp:revision>7</cp:revision>
  <cp:lastPrinted>2026-07-09T13:55:00Z</cp:lastPrinted>
  <dcterms:created xsi:type="dcterms:W3CDTF">2026-07-10T10:27:00Z</dcterms:created>
  <dcterms:modified xsi:type="dcterms:W3CDTF">2026-07-13T08:54:00Z</dcterms:modified>
</cp:coreProperties>
</file>